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560" w:rsidRDefault="008D166C">
      <w:pPr>
        <w:rPr>
          <w:b/>
          <w:u w:val="single"/>
        </w:rPr>
      </w:pPr>
      <w:r w:rsidRPr="008D166C">
        <w:rPr>
          <w:b/>
          <w:u w:val="single"/>
        </w:rPr>
        <w:t>Country Portfolio 1</w:t>
      </w:r>
    </w:p>
    <w:p w:rsidR="008D166C" w:rsidRDefault="008D166C">
      <w:pPr>
        <w:rPr>
          <w:b/>
          <w:u w:val="single"/>
        </w:rPr>
      </w:pPr>
    </w:p>
    <w:bookmarkStart w:id="0" w:name="_Toc409783206"/>
    <w:p w:rsidR="008D166C" w:rsidRDefault="008D166C" w:rsidP="008D166C">
      <w:pPr>
        <w:pStyle w:val="SectionTitle"/>
      </w:pPr>
      <w:sdt>
        <w:sdtPr>
          <w:alias w:val="Title"/>
          <w:tag w:val=""/>
          <w:id w:val="-1756435886"/>
          <w:placeholder>
            <w:docPart w:val="A53224AC21247C438E999E4A3E386BFD"/>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t>[Title Here, up to 12 Words, on One to Two Lines]</w:t>
          </w:r>
        </w:sdtContent>
      </w:sdt>
      <w:bookmarkEnd w:id="0"/>
    </w:p>
    <w:p w:rsidR="008D166C" w:rsidRDefault="008D166C" w:rsidP="008D166C">
      <w:r>
        <w:t xml:space="preserve">In September of 2000, the United Nations created the Millennium Development Goals (MDG) thus, bringing together devoted world leaders to implement the fifteen-year plan in an attempt to diminish poverty, world hunger, disease, inequality, and environmental crises. This initial portfolio of Spain will analyze the country’s specific Millennium Development Goals along with its population, health indicators, and applicable socioeconomic data. </w:t>
      </w:r>
    </w:p>
    <w:p w:rsidR="008D166C" w:rsidRDefault="008D166C" w:rsidP="008D166C">
      <w:pPr>
        <w:pStyle w:val="Heading1"/>
      </w:pPr>
      <w:bookmarkStart w:id="1" w:name="_Toc409783207"/>
      <w:r>
        <w:t>M</w:t>
      </w:r>
      <w:bookmarkEnd w:id="1"/>
      <w:r>
        <w:t>eeting MDG’s</w:t>
      </w:r>
    </w:p>
    <w:p w:rsidR="008D166C" w:rsidRDefault="008D166C" w:rsidP="008D166C">
      <w:pPr>
        <w:rPr>
          <w:rFonts w:ascii="Palatino" w:eastAsia="Times New Roman" w:hAnsi="Palatino" w:cs="Times New Roman"/>
          <w:szCs w:val="20"/>
        </w:rPr>
      </w:pPr>
      <w:r w:rsidRPr="00844054">
        <w:rPr>
          <w:rFonts w:ascii="Palatino" w:eastAsia="Times New Roman" w:hAnsi="Palatino" w:cs="Times New Roman"/>
          <w:szCs w:val="20"/>
        </w:rPr>
        <w:t xml:space="preserve">Based upon the State of Health in the EU, compiled by the OECD and the European Observatory on Health Systems and Policies and updated in 2017, as well as 2017 data from the World Health Organization, Spain has among the highest health outcomes of the 28 EU countries. Although Spain has declined in a few metrics, overall it has progressed well in meeting the health care criteria outlined by the United Nations Millennium Development Goals (MDG), which measures national improvement from 2000 to 2015. Many of these gains are attributable to government policies, including a strong focus on primary care. </w:t>
      </w:r>
      <w:r w:rsidRPr="00844054">
        <w:rPr>
          <w:rFonts w:ascii="Palatino" w:eastAsia="Times New Roman" w:hAnsi="Palatino" w:cs="Times New Roman"/>
          <w:szCs w:val="20"/>
        </w:rPr>
        <w:tab/>
      </w:r>
    </w:p>
    <w:p w:rsidR="008D166C" w:rsidRDefault="008D166C" w:rsidP="008D166C">
      <w:r w:rsidRPr="00844054">
        <w:rPr>
          <w:rFonts w:ascii="Palatino" w:eastAsia="Times New Roman" w:hAnsi="Palatino" w:cs="Times New Roman"/>
          <w:szCs w:val="20"/>
        </w:rPr>
        <w:t>After the end of the Franco dictatorship when Spain joined the EU, democratized and economically liberalized, it also renewed its universal health care system in 1978 with further changes in 1986, placing particular emphasis on primary health care. Spanish policy encouraged and funded primary health care teams to coordinate not just treatment but also health promotion through media, diseas</w:t>
      </w:r>
      <w:r>
        <w:rPr>
          <w:rFonts w:ascii="Palatino" w:eastAsia="Times New Roman" w:hAnsi="Palatino" w:cs="Times New Roman"/>
          <w:szCs w:val="20"/>
        </w:rPr>
        <w:t>e prevention and community care</w:t>
      </w:r>
      <w:r w:rsidRPr="00844054">
        <w:rPr>
          <w:rFonts w:ascii="Palatino" w:eastAsia="Times New Roman" w:hAnsi="Palatino" w:cs="Times New Roman"/>
          <w:szCs w:val="20"/>
        </w:rPr>
        <w:t xml:space="preserve"> (</w:t>
      </w:r>
      <w:r>
        <w:rPr>
          <w:color w:val="000000" w:themeColor="text1"/>
        </w:rPr>
        <w:t xml:space="preserve">Borkan, </w:t>
      </w:r>
      <w:r w:rsidRPr="00AF236F">
        <w:rPr>
          <w:color w:val="000000" w:themeColor="text1"/>
        </w:rPr>
        <w:t>Eaton,</w:t>
      </w:r>
      <w:r>
        <w:rPr>
          <w:color w:val="000000" w:themeColor="text1"/>
        </w:rPr>
        <w:t xml:space="preserve"> </w:t>
      </w:r>
      <w:r w:rsidRPr="00AF236F">
        <w:rPr>
          <w:color w:val="000000" w:themeColor="text1"/>
        </w:rPr>
        <w:t>Novillo-Ortiz, Corte,</w:t>
      </w:r>
      <w:r>
        <w:rPr>
          <w:color w:val="000000" w:themeColor="text1"/>
        </w:rPr>
        <w:t xml:space="preserve"> Jadad, 2010</w:t>
      </w:r>
      <w:r w:rsidRPr="00844054">
        <w:rPr>
          <w:rFonts w:ascii="Palatino" w:eastAsia="Times New Roman" w:hAnsi="Palatino" w:cs="Times New Roman"/>
          <w:szCs w:val="20"/>
        </w:rPr>
        <w:t>). Spain has also fully embraced the United Nations Millennium Development Goals</w:t>
      </w:r>
      <w:r>
        <w:rPr>
          <w:rFonts w:ascii="Palatino" w:eastAsia="Times New Roman" w:hAnsi="Palatino" w:cs="Times New Roman"/>
          <w:szCs w:val="20"/>
        </w:rPr>
        <w:t xml:space="preserve"> according to the UN in 2008. Chronicle.</w:t>
      </w:r>
      <w:r w:rsidRPr="00844054">
        <w:rPr>
          <w:rFonts w:ascii="Palatino" w:eastAsia="Times New Roman" w:hAnsi="Palatino" w:cs="Times New Roman"/>
          <w:szCs w:val="20"/>
        </w:rPr>
        <w:t xml:space="preserve">  The result has been continued improvement since the late 1970s and well into the period covered by the MDG. </w:t>
      </w:r>
      <w:r w:rsidRPr="00844054">
        <w:rPr>
          <w:rFonts w:ascii="Palatino" w:eastAsia="Times New Roman" w:hAnsi="Palatino" w:cs="Times New Roman"/>
          <w:szCs w:val="20"/>
        </w:rPr>
        <w:tab/>
      </w:r>
      <w:r>
        <w:t xml:space="preserve"> </w:t>
      </w:r>
    </w:p>
    <w:p w:rsidR="008D166C" w:rsidRDefault="008D166C" w:rsidP="008D166C">
      <w:pPr>
        <w:pStyle w:val="Heading2"/>
      </w:pPr>
      <w:bookmarkStart w:id="2" w:name="_Toc409783208"/>
      <w:r>
        <w:t>Demographics</w:t>
      </w:r>
      <w:bookmarkEnd w:id="2"/>
    </w:p>
    <w:p w:rsidR="008D166C" w:rsidRDefault="008D166C" w:rsidP="008D166C">
      <w:r>
        <w:t xml:space="preserve">Demographically, as of 2015, Spain had a population of 46,448,000 of whom 18.5% were over 65 years of age. The fertility rate was 1.3%, lower than the EU average and the national gross domestic product was 25,900 Euros per capita, compared </w:t>
      </w:r>
      <w:proofErr w:type="gramStart"/>
      <w:r>
        <w:t>a</w:t>
      </w:r>
      <w:proofErr w:type="gramEnd"/>
      <w:r>
        <w:t xml:space="preserve"> EU average of 28,900 Euros per capita. Economically, Spain is lagging with a poverty rate of 15.9% of the population compared with </w:t>
      </w:r>
      <w:proofErr w:type="gramStart"/>
      <w:r>
        <w:t>a</w:t>
      </w:r>
      <w:proofErr w:type="gramEnd"/>
      <w:r>
        <w:t xml:space="preserve"> EU average of 10.8% and a high unemployment rate of 22.1% compared with a much lower EU average of 9.4%. </w:t>
      </w:r>
    </w:p>
    <w:p w:rsidR="008D166C" w:rsidRDefault="008D166C" w:rsidP="008D166C">
      <w:pPr>
        <w:rPr>
          <w:rFonts w:ascii="Palatino" w:eastAsia="Times New Roman" w:hAnsi="Palatino" w:cs="Times New Roman"/>
          <w:szCs w:val="20"/>
        </w:rPr>
      </w:pPr>
      <w:r>
        <w:rPr>
          <w:rStyle w:val="Heading3Char"/>
        </w:rPr>
        <w:t xml:space="preserve">MDG’s Related to Health Indicators. </w:t>
      </w:r>
      <w:r w:rsidRPr="00844054">
        <w:rPr>
          <w:rFonts w:ascii="Palatino" w:eastAsia="Times New Roman" w:hAnsi="Palatino" w:cs="Times New Roman"/>
          <w:szCs w:val="20"/>
        </w:rPr>
        <w:t>Despite its relatively poor economic performance, health care outcomes in Spain have improved. Of the eight Millennium Development Goals which include addressing poverty, education, gender equality, environmental sustainability and global cooperation, three directly addressed health care: (MDG 4) reducing child mortality, (MDG 5) improving maternal health and (MDG 6) combating HIV/AIDS, malaria and other diseases. Already an advanced country, Spain has continued to excel in these and other health care categories due to its focus on primary care, as well as health promotion and preventative care.</w:t>
      </w:r>
      <w:r w:rsidRPr="00844054">
        <w:rPr>
          <w:rFonts w:ascii="Palatino" w:eastAsia="Times New Roman" w:hAnsi="Palatino" w:cs="Times New Roman"/>
          <w:szCs w:val="20"/>
        </w:rPr>
        <w:tab/>
      </w:r>
    </w:p>
    <w:p w:rsidR="008D166C" w:rsidRDefault="008D166C" w:rsidP="008D166C">
      <w:pPr>
        <w:rPr>
          <w:rFonts w:ascii="Palatino" w:eastAsia="Times New Roman" w:hAnsi="Palatino" w:cs="Times New Roman"/>
          <w:szCs w:val="20"/>
        </w:rPr>
      </w:pPr>
      <w:r w:rsidRPr="00844054">
        <w:rPr>
          <w:rFonts w:ascii="Palatino" w:eastAsia="Times New Roman" w:hAnsi="Palatino" w:cs="Times New Roman"/>
          <w:szCs w:val="20"/>
        </w:rPr>
        <w:t xml:space="preserve">Spain boasts the highest life expectancy rate in the entire EU according to the State of Health in the EU, with a life expectancy of 83 years, exceeding the EU average of 80 years. This is an improvement from around 78% in 2000. Most of the gains were in mortality rates after age 65. IN 2015, Spanish women aged 65 could expect to live, on </w:t>
      </w:r>
      <w:r w:rsidRPr="00844054">
        <w:rPr>
          <w:rFonts w:ascii="Palatino" w:eastAsia="Times New Roman" w:hAnsi="Palatino" w:cs="Times New Roman"/>
          <w:szCs w:val="20"/>
        </w:rPr>
        <w:lastRenderedPageBreak/>
        <w:t>average another 23 years, up from 20.8 in 2000. In addition, they could expect another 9 years free of disability. Spanish men of the same age expected to live, on average, another 19 years, up from 16.7 in 2000 and could enjoy another 9.5 years, on average, without disability. (OECD/ European Observatory on Health Systems and Policies (2017), Spain: Country Health Profile 2017, State of Health in the EU).</w:t>
      </w:r>
    </w:p>
    <w:p w:rsidR="008D166C" w:rsidRDefault="008D166C" w:rsidP="008D166C">
      <w:r>
        <w:t>Disability-adjusted life years (DALYs) in Spain in 2015 were mostly attributable to neck and lower back pain and other musculoskeletal disorders, ischemic heart diseases, and dementia, especially Alzheimer’s disease. The State of Health in the EU profile on Spain attributes these DALYs to physical inactivity and obesity, both of which have increased since 2000 along with musculoskeletal disorders and dementia. Smoking and alcohol use were also factors.</w:t>
      </w:r>
    </w:p>
    <w:p w:rsidR="008D166C" w:rsidRDefault="008D166C" w:rsidP="008D166C">
      <w:r>
        <w:t xml:space="preserve">Although among the lowest in the EU, cardiovascular disease in Spain in 2014 was the leading cause of death at 30%, 33% in women and 27% in men. Cancer was the next leading cause of death, at 27%, with a rate of 21% for women and 32% for men. Respiratory diseases counted for the next cause of death at 11%, with 10% for women and 12% for men. Finally, the rate of death from dementia captured 10%, with 14% for women and 7% for men. The rate of dementia actually increased since 2000 but largely due to increased longevity overall. </w:t>
      </w:r>
    </w:p>
    <w:p w:rsidR="008D166C" w:rsidRDefault="008D166C" w:rsidP="008D166C"/>
    <w:p w:rsidR="008D166C" w:rsidRDefault="008D166C" w:rsidP="008D166C">
      <w:pPr>
        <w:rPr>
          <w:b/>
          <w:bCs/>
        </w:rPr>
      </w:pPr>
    </w:p>
    <w:p w:rsidR="008D166C" w:rsidRPr="00844054" w:rsidRDefault="008D166C" w:rsidP="008D166C">
      <w:pPr>
        <w:rPr>
          <w:rFonts w:ascii="Palatino" w:eastAsia="Times New Roman" w:hAnsi="Palatino" w:cs="Times New Roman"/>
          <w:szCs w:val="20"/>
        </w:rPr>
      </w:pPr>
      <w:r>
        <w:rPr>
          <w:rStyle w:val="Heading4Char"/>
        </w:rPr>
        <w:t xml:space="preserve">Socioeconomics. </w:t>
      </w:r>
      <w:r w:rsidRPr="00844054">
        <w:rPr>
          <w:rFonts w:ascii="Palatino" w:eastAsia="Times New Roman" w:hAnsi="Palatino" w:cs="Times New Roman"/>
          <w:szCs w:val="20"/>
        </w:rPr>
        <w:t xml:space="preserve">Health outcomes in Spain in 2015 correlated roughly with socioeconomic status. Around 80% of </w:t>
      </w:r>
      <w:proofErr w:type="gramStart"/>
      <w:r w:rsidRPr="00844054">
        <w:rPr>
          <w:rFonts w:ascii="Palatino" w:eastAsia="Times New Roman" w:hAnsi="Palatino" w:cs="Times New Roman"/>
          <w:szCs w:val="20"/>
        </w:rPr>
        <w:t>high income</w:t>
      </w:r>
      <w:proofErr w:type="gramEnd"/>
      <w:r w:rsidRPr="00844054">
        <w:rPr>
          <w:rFonts w:ascii="Palatino" w:eastAsia="Times New Roman" w:hAnsi="Palatino" w:cs="Times New Roman"/>
          <w:szCs w:val="20"/>
        </w:rPr>
        <w:t xml:space="preserve"> Spaniards self-reported good health but only around 70% of lower income Spanish people did. Self–reported depression numbering one person in thirteen was three times more likely with the lower educated. Self–reported diabetes amounting to one person in fourteen was three and one-half times more likely with the lower educated. Obesity rates increased from 12.6% in 2001 to 16.2% in 2014 and higher among the lower educated.  Less than 50% of Spanish adults engaged in physical activity in 2014, although physical activity rates among Spanish 15-year</w:t>
      </w:r>
      <w:r>
        <w:rPr>
          <w:rFonts w:ascii="Palatino" w:eastAsia="Times New Roman" w:hAnsi="Palatino" w:cs="Times New Roman"/>
          <w:szCs w:val="20"/>
        </w:rPr>
        <w:t xml:space="preserve"> olds</w:t>
      </w:r>
      <w:r w:rsidRPr="00844054">
        <w:rPr>
          <w:rFonts w:ascii="Palatino" w:eastAsia="Times New Roman" w:hAnsi="Palatino" w:cs="Times New Roman"/>
          <w:szCs w:val="20"/>
        </w:rPr>
        <w:t xml:space="preserve"> exceeds that EU average. Still, the obesity rate of 15-year old Spaniards increased from 16% in 2001-2002 to 20% in 2013-2014, with a rate of 24% for </w:t>
      </w:r>
      <w:r>
        <w:rPr>
          <w:rFonts w:ascii="Palatino" w:eastAsia="Times New Roman" w:hAnsi="Palatino" w:cs="Times New Roman"/>
          <w:szCs w:val="20"/>
        </w:rPr>
        <w:t>boys and 15% for girls. (OECD and</w:t>
      </w:r>
      <w:r w:rsidRPr="00844054">
        <w:rPr>
          <w:rFonts w:ascii="Palatino" w:eastAsia="Times New Roman" w:hAnsi="Palatino" w:cs="Times New Roman"/>
          <w:szCs w:val="20"/>
        </w:rPr>
        <w:t xml:space="preserve"> European Observatory </w:t>
      </w:r>
      <w:r>
        <w:rPr>
          <w:rFonts w:ascii="Palatino" w:eastAsia="Times New Roman" w:hAnsi="Palatino" w:cs="Times New Roman"/>
          <w:szCs w:val="20"/>
        </w:rPr>
        <w:t>on Health Systems and Policies, 2017).</w:t>
      </w:r>
    </w:p>
    <w:p w:rsidR="008D166C" w:rsidRDefault="008D166C" w:rsidP="008D166C">
      <w:pPr>
        <w:rPr>
          <w:rFonts w:ascii="Palatino" w:eastAsia="Times New Roman" w:hAnsi="Palatino" w:cs="Times New Roman"/>
          <w:szCs w:val="20"/>
        </w:rPr>
      </w:pPr>
      <w:r>
        <w:rPr>
          <w:rStyle w:val="Heading5Char"/>
        </w:rPr>
        <w:t xml:space="preserve">Action that Works. </w:t>
      </w:r>
      <w:r w:rsidRPr="00844054">
        <w:rPr>
          <w:rFonts w:ascii="Palatino" w:eastAsia="Times New Roman" w:hAnsi="Palatino" w:cs="Times New Roman"/>
          <w:szCs w:val="20"/>
        </w:rPr>
        <w:t>Spanish government policies have contributed to improved health care outcomes. After the end of the Franco dictatorship when Spain joined the EU, democratized and economically liberalized, it also renewed its universal health care system in 1978 with further changes in 1986, placing particular emphasis on primary health care. Spanish policy encouraged and funded primary health care teams to coordinate not just treatment but also health promotion through media, disease prevention and community care.</w:t>
      </w:r>
    </w:p>
    <w:p w:rsidR="008D166C" w:rsidRDefault="008D166C" w:rsidP="008D166C">
      <w:pPr>
        <w:rPr>
          <w:rFonts w:ascii="Palatino" w:eastAsia="Times New Roman" w:hAnsi="Palatino" w:cs="Times New Roman"/>
          <w:szCs w:val="20"/>
        </w:rPr>
      </w:pPr>
      <w:r w:rsidRPr="00844054">
        <w:rPr>
          <w:rFonts w:ascii="Palatino" w:eastAsia="Times New Roman" w:hAnsi="Palatino" w:cs="Times New Roman"/>
          <w:szCs w:val="20"/>
        </w:rPr>
        <w:t xml:space="preserve"> In addition to greater longevity, government policies have had other positive effects. Tobacco control policies helped lower the adolescent tobacco use rate from 28% in 2001-2002 to 2013-2014, 10% for girls and 8% for boys. Promotional and preventative care policies have altered adult tobacco use as well. For adults, smoking rates dropped from 32% in 2000 to 23% in 2014, a key factor in decreased lung cancer rates and increased longevity. Transport related fatalities have also decreased since 2000 due to more stringent road safety policies.  Reduced alcohol use to 9% in adults, versus the EU average of 20%, has </w:t>
      </w:r>
      <w:proofErr w:type="gramStart"/>
      <w:r w:rsidRPr="00844054">
        <w:rPr>
          <w:rFonts w:ascii="Palatino" w:eastAsia="Times New Roman" w:hAnsi="Palatino" w:cs="Times New Roman"/>
          <w:szCs w:val="20"/>
        </w:rPr>
        <w:t>lead</w:t>
      </w:r>
      <w:proofErr w:type="gramEnd"/>
      <w:r w:rsidRPr="00844054">
        <w:rPr>
          <w:rFonts w:ascii="Palatino" w:eastAsia="Times New Roman" w:hAnsi="Palatino" w:cs="Times New Roman"/>
          <w:szCs w:val="20"/>
        </w:rPr>
        <w:t xml:space="preserve"> to reduced death from liver diseases. </w:t>
      </w:r>
      <w:r w:rsidRPr="00844054">
        <w:rPr>
          <w:rFonts w:ascii="Palatino" w:eastAsia="Times New Roman" w:hAnsi="Palatino" w:cs="Times New Roman"/>
          <w:szCs w:val="20"/>
        </w:rPr>
        <w:tab/>
      </w:r>
    </w:p>
    <w:p w:rsidR="008D166C" w:rsidRDefault="008D166C" w:rsidP="008D166C">
      <w:pPr>
        <w:rPr>
          <w:rFonts w:ascii="Palatino" w:eastAsia="Times New Roman" w:hAnsi="Palatino" w:cs="Times New Roman"/>
          <w:szCs w:val="20"/>
        </w:rPr>
      </w:pPr>
      <w:r w:rsidRPr="00844054">
        <w:rPr>
          <w:rFonts w:ascii="Palatino" w:eastAsia="Times New Roman" w:hAnsi="Palatino" w:cs="Times New Roman"/>
          <w:szCs w:val="20"/>
        </w:rPr>
        <w:t xml:space="preserve">According to World Health Organization data last updated on July 17, 2018, and consistent with MDG 4, infant mortality in Spain has dropped from 2 in 1,000 births to 1 </w:t>
      </w:r>
      <w:r w:rsidRPr="00844054">
        <w:rPr>
          <w:rFonts w:ascii="Palatino" w:eastAsia="Times New Roman" w:hAnsi="Palatino" w:cs="Times New Roman"/>
          <w:szCs w:val="20"/>
        </w:rPr>
        <w:lastRenderedPageBreak/>
        <w:t xml:space="preserve">in 1,000 from 2002 until 2015. During the same period, infant mortality from birth to age 1 decreased from 4.2 per 1,000 to 2.8 per 1,000 and the death rate for children under five dropped from 5.2 per 1,000 to 3.4 per 1,000. Tuberculosis rates per year in Spain plummeted by half from 2002 to 2015, from 20 per 100,000 to 10 per 100,000 people. (World Health Organization, </w:t>
      </w:r>
      <w:r>
        <w:rPr>
          <w:rFonts w:ascii="Palatino" w:eastAsia="Times New Roman" w:hAnsi="Palatino" w:cs="Times New Roman"/>
          <w:szCs w:val="20"/>
        </w:rPr>
        <w:t xml:space="preserve">2018). In </w:t>
      </w:r>
      <w:r w:rsidRPr="00844054">
        <w:rPr>
          <w:rFonts w:ascii="Palatino" w:eastAsia="Times New Roman" w:hAnsi="Palatino" w:cs="Times New Roman"/>
          <w:szCs w:val="20"/>
        </w:rPr>
        <w:t>2016, HIV/AIDS prevalence in Spain declined to 0.3%, one third the rate in 1997 and consistent with the European average (</w:t>
      </w:r>
      <w:r>
        <w:rPr>
          <w:rFonts w:ascii="Palatino" w:eastAsia="Times New Roman" w:hAnsi="Palatino" w:cs="Times New Roman"/>
          <w:szCs w:val="20"/>
        </w:rPr>
        <w:t>Avert, 2018).</w:t>
      </w:r>
    </w:p>
    <w:p w:rsidR="008D166C" w:rsidRDefault="008D166C" w:rsidP="008D166C">
      <w:r w:rsidRPr="00844054">
        <w:rPr>
          <w:rFonts w:ascii="Palatino" w:eastAsia="Times New Roman" w:hAnsi="Palatino" w:cs="Times New Roman"/>
          <w:szCs w:val="20"/>
        </w:rPr>
        <w:t>In conclusion</w:t>
      </w:r>
      <w:r>
        <w:rPr>
          <w:rFonts w:ascii="Palatino" w:eastAsia="Times New Roman" w:hAnsi="Palatino" w:cs="Times New Roman"/>
          <w:szCs w:val="20"/>
        </w:rPr>
        <w:t>,</w:t>
      </w:r>
      <w:r w:rsidRPr="00844054">
        <w:rPr>
          <w:rFonts w:ascii="Palatino" w:eastAsia="Times New Roman" w:hAnsi="Palatino" w:cs="Times New Roman"/>
          <w:szCs w:val="20"/>
        </w:rPr>
        <w:t xml:space="preserve"> the statistical record is clear that health care policies in Spain have succeeded in improving health care outcomes for the Spanish population consistent with the goals of both the Spanish universal care health care system and the health care goals of the MDG.  </w:t>
      </w:r>
      <w:r>
        <w:t xml:space="preserve">  </w:t>
      </w:r>
    </w:p>
    <w:bookmarkStart w:id="3" w:name="_Toc409783210" w:displacedByCustomXml="next"/>
    <w:sdt>
      <w:sdtPr>
        <w:rPr>
          <w:rFonts w:asciiTheme="minorHAnsi" w:eastAsiaTheme="minorEastAsia" w:hAnsiTheme="minorHAnsi" w:cstheme="minorBidi"/>
        </w:rPr>
        <w:id w:val="-573587230"/>
        <w:bibliography/>
      </w:sdtPr>
      <w:sdtContent>
        <w:p w:rsidR="008D166C" w:rsidRDefault="008D166C" w:rsidP="008D166C">
          <w:pPr>
            <w:pStyle w:val="SectionTitle"/>
          </w:pPr>
          <w:r>
            <w:t>References</w:t>
          </w:r>
          <w:bookmarkEnd w:id="3"/>
        </w:p>
        <w:p w:rsidR="008D166C" w:rsidRPr="00AF236F" w:rsidRDefault="008D166C" w:rsidP="008D166C">
          <w:pPr>
            <w:rPr>
              <w:color w:val="000000" w:themeColor="text1"/>
            </w:rPr>
          </w:pPr>
        </w:p>
        <w:p w:rsidR="008D166C" w:rsidRPr="00AF236F" w:rsidRDefault="008D166C" w:rsidP="008D166C">
          <w:pPr>
            <w:rPr>
              <w:color w:val="000000" w:themeColor="text1"/>
            </w:rPr>
          </w:pPr>
          <w:r>
            <w:rPr>
              <w:color w:val="000000" w:themeColor="text1"/>
            </w:rPr>
            <w:t>OECD and</w:t>
          </w:r>
          <w:r w:rsidRPr="00AF236F">
            <w:rPr>
              <w:color w:val="000000" w:themeColor="text1"/>
            </w:rPr>
            <w:t xml:space="preserve"> European Observatory on Health Systems and Policies</w:t>
          </w:r>
          <w:r>
            <w:rPr>
              <w:color w:val="000000" w:themeColor="text1"/>
            </w:rPr>
            <w:t>. (2017).</w:t>
          </w:r>
          <w:r w:rsidRPr="00AF236F">
            <w:rPr>
              <w:color w:val="000000" w:themeColor="text1"/>
            </w:rPr>
            <w:t xml:space="preserve"> Spain: Country Health Profile </w:t>
          </w:r>
          <w:r>
            <w:rPr>
              <w:color w:val="000000" w:themeColor="text1"/>
            </w:rPr>
            <w:t>2017, State of Health in the EU.</w:t>
          </w:r>
          <w:r w:rsidRPr="00AF236F">
            <w:rPr>
              <w:color w:val="000000" w:themeColor="text1"/>
            </w:rPr>
            <w:t xml:space="preserve"> OECD Publishing, Paris/European Observatory on Health Systems and Policies, Brussels.</w:t>
          </w:r>
          <w:r>
            <w:rPr>
              <w:color w:val="000000" w:themeColor="text1"/>
            </w:rPr>
            <w:t xml:space="preserve"> </w:t>
          </w:r>
          <w:r w:rsidRPr="00AF236F">
            <w:rPr>
              <w:color w:val="000000" w:themeColor="text1"/>
            </w:rPr>
            <w:t>http://dx.doi.org/10.1787/9789264283565-en.</w:t>
          </w:r>
        </w:p>
        <w:p w:rsidR="008D166C" w:rsidRPr="00AF236F" w:rsidRDefault="008D166C" w:rsidP="008D166C">
          <w:pPr>
            <w:rPr>
              <w:color w:val="000000" w:themeColor="text1"/>
            </w:rPr>
          </w:pPr>
        </w:p>
        <w:p w:rsidR="008D166C" w:rsidRPr="00AF236F" w:rsidRDefault="008D166C" w:rsidP="008D166C">
          <w:pPr>
            <w:rPr>
              <w:color w:val="000000" w:themeColor="text1"/>
            </w:rPr>
          </w:pPr>
          <w:r w:rsidRPr="00AF236F">
            <w:rPr>
              <w:color w:val="000000" w:themeColor="text1"/>
              <w:szCs w:val="28"/>
              <w:shd w:val="clear" w:color="auto" w:fill="FFFFFF"/>
            </w:rPr>
            <w:t>OECD</w:t>
          </w:r>
          <w:r>
            <w:rPr>
              <w:color w:val="000000" w:themeColor="text1"/>
              <w:szCs w:val="28"/>
              <w:shd w:val="clear" w:color="auto" w:fill="FFFFFF"/>
            </w:rPr>
            <w:t xml:space="preserve">. (2017). </w:t>
          </w:r>
          <w:r w:rsidRPr="00AF236F">
            <w:rPr>
              <w:color w:val="000000" w:themeColor="text1"/>
              <w:szCs w:val="28"/>
              <w:shd w:val="clear" w:color="auto" w:fill="FFFFFF"/>
            </w:rPr>
            <w:t>Life expectancy gains associated with a 10% change in the main determinants of health: Analysis based on 35 OECD countries for the time period 1995</w:t>
          </w:r>
          <w:r>
            <w:rPr>
              <w:color w:val="000000" w:themeColor="text1"/>
              <w:szCs w:val="28"/>
              <w:shd w:val="clear" w:color="auto" w:fill="FFFFFF"/>
            </w:rPr>
            <w:t xml:space="preserve">-2015. </w:t>
          </w:r>
          <w:r w:rsidRPr="00D82FEB">
            <w:rPr>
              <w:color w:val="000000" w:themeColor="text1"/>
              <w:szCs w:val="28"/>
            </w:rPr>
            <w:t>Health at a Glance 2017: OECD Indicators</w:t>
          </w:r>
          <w:r>
            <w:rPr>
              <w:color w:val="000000" w:themeColor="text1"/>
              <w:szCs w:val="28"/>
              <w:shd w:val="clear" w:color="auto" w:fill="FFFFFF"/>
            </w:rPr>
            <w:t xml:space="preserve">. OECD Publishing, Paris.   </w:t>
          </w:r>
          <w:r w:rsidRPr="00D82FEB">
            <w:rPr>
              <w:color w:val="000000" w:themeColor="text1"/>
              <w:szCs w:val="28"/>
            </w:rPr>
            <w:t>https://doi.org/10.1787/health_glance-2017-graph2-en</w:t>
          </w:r>
          <w:r w:rsidRPr="00AF236F">
            <w:rPr>
              <w:color w:val="000000" w:themeColor="text1"/>
              <w:szCs w:val="28"/>
              <w:shd w:val="clear" w:color="auto" w:fill="FFFFFF"/>
            </w:rPr>
            <w:t>.</w:t>
          </w:r>
        </w:p>
        <w:p w:rsidR="008D166C" w:rsidRPr="00AF236F" w:rsidRDefault="008D166C" w:rsidP="008D166C">
          <w:pPr>
            <w:rPr>
              <w:color w:val="000000" w:themeColor="text1"/>
            </w:rPr>
          </w:pPr>
        </w:p>
        <w:p w:rsidR="008D166C" w:rsidRPr="00AF236F" w:rsidRDefault="008D166C" w:rsidP="008D166C">
          <w:pPr>
            <w:rPr>
              <w:color w:val="000000" w:themeColor="text1"/>
            </w:rPr>
          </w:pPr>
          <w:r w:rsidRPr="00AF236F">
            <w:rPr>
              <w:color w:val="000000" w:themeColor="text1"/>
            </w:rPr>
            <w:t xml:space="preserve">Borkan, </w:t>
          </w:r>
          <w:r>
            <w:rPr>
              <w:color w:val="000000" w:themeColor="text1"/>
            </w:rPr>
            <w:t xml:space="preserve">J., </w:t>
          </w:r>
          <w:r w:rsidRPr="00AF236F">
            <w:rPr>
              <w:color w:val="000000" w:themeColor="text1"/>
            </w:rPr>
            <w:t>Eaton,</w:t>
          </w:r>
          <w:r>
            <w:rPr>
              <w:color w:val="000000" w:themeColor="text1"/>
            </w:rPr>
            <w:t xml:space="preserve"> C.,</w:t>
          </w:r>
          <w:r w:rsidRPr="00AF236F">
            <w:rPr>
              <w:color w:val="000000" w:themeColor="text1"/>
            </w:rPr>
            <w:t xml:space="preserve"> Novillo-Ortiz,</w:t>
          </w:r>
          <w:r>
            <w:rPr>
              <w:color w:val="000000" w:themeColor="text1"/>
            </w:rPr>
            <w:t xml:space="preserve"> D.,</w:t>
          </w:r>
          <w:r w:rsidRPr="00AF236F">
            <w:rPr>
              <w:color w:val="000000" w:themeColor="text1"/>
            </w:rPr>
            <w:t xml:space="preserve"> Corte,</w:t>
          </w:r>
          <w:r>
            <w:rPr>
              <w:color w:val="000000" w:themeColor="text1"/>
            </w:rPr>
            <w:t xml:space="preserve"> P., Jadad. (2010). </w:t>
          </w:r>
          <w:r w:rsidRPr="00AF236F">
            <w:rPr>
              <w:color w:val="000000" w:themeColor="text1"/>
            </w:rPr>
            <w:t xml:space="preserve">Lessons </w:t>
          </w:r>
          <w:proofErr w:type="gramStart"/>
          <w:r w:rsidRPr="00AF236F">
            <w:rPr>
              <w:color w:val="000000" w:themeColor="text1"/>
            </w:rPr>
            <w:t>From</w:t>
          </w:r>
          <w:proofErr w:type="gramEnd"/>
          <w:r w:rsidRPr="00AF236F">
            <w:rPr>
              <w:color w:val="000000" w:themeColor="text1"/>
            </w:rPr>
            <w:t xml:space="preserve"> Around the World, Renewing Primary Care: Lessons Learned From</w:t>
          </w:r>
          <w:r>
            <w:rPr>
              <w:color w:val="000000" w:themeColor="text1"/>
            </w:rPr>
            <w:t xml:space="preserve"> The Spanish Health Care System. </w:t>
          </w:r>
          <w:r w:rsidRPr="00AF236F">
            <w:rPr>
              <w:color w:val="000000" w:themeColor="text1"/>
            </w:rPr>
            <w:t>Health</w:t>
          </w:r>
          <w:r>
            <w:rPr>
              <w:color w:val="000000" w:themeColor="text1"/>
            </w:rPr>
            <w:t xml:space="preserve"> Affairs, Research Article, 29(</w:t>
          </w:r>
          <w:r w:rsidRPr="00AF236F">
            <w:rPr>
              <w:color w:val="000000" w:themeColor="text1"/>
            </w:rPr>
            <w:t>8</w:t>
          </w:r>
          <w:r>
            <w:rPr>
              <w:color w:val="000000" w:themeColor="text1"/>
            </w:rPr>
            <w:t xml:space="preserve">). </w:t>
          </w:r>
          <w:r w:rsidRPr="00AF236F">
            <w:rPr>
              <w:color w:val="000000" w:themeColor="text1"/>
            </w:rPr>
            <w:t>http://doi.org/10.1377/hlthaff.2010.0023</w:t>
          </w:r>
        </w:p>
        <w:p w:rsidR="008D166C" w:rsidRDefault="008D166C" w:rsidP="008D166C">
          <w:pPr>
            <w:pStyle w:val="Bibliography"/>
          </w:pPr>
        </w:p>
      </w:sdtContent>
    </w:sdt>
    <w:p w:rsidR="008D166C" w:rsidRDefault="008D166C" w:rsidP="008D166C">
      <w:pPr>
        <w:rPr>
          <w:rFonts w:cstheme="minorHAnsi"/>
          <w:color w:val="000000" w:themeColor="text1"/>
          <w:shd w:val="clear" w:color="auto" w:fill="FFFFFF"/>
        </w:rPr>
      </w:pPr>
      <w:r w:rsidRPr="00FB581E">
        <w:rPr>
          <w:rFonts w:cstheme="minorHAnsi"/>
          <w:color w:val="000000" w:themeColor="text1"/>
          <w:shd w:val="clear" w:color="auto" w:fill="FFFFFF"/>
        </w:rPr>
        <w:t>UN (2008),</w:t>
      </w:r>
      <w:r w:rsidRPr="00FB581E">
        <w:rPr>
          <w:rStyle w:val="apple-converted-space"/>
          <w:rFonts w:cstheme="minorHAnsi"/>
          <w:color w:val="000000" w:themeColor="text1"/>
          <w:shd w:val="clear" w:color="auto" w:fill="FFFFFF"/>
        </w:rPr>
        <w:t> </w:t>
      </w:r>
      <w:r w:rsidRPr="00FB581E">
        <w:rPr>
          <w:rFonts w:cstheme="minorHAnsi"/>
          <w:iCs/>
          <w:color w:val="000000" w:themeColor="text1"/>
        </w:rPr>
        <w:t>UN Chronicle Vol. XLV No.1 2008</w:t>
      </w:r>
      <w:r w:rsidRPr="00FB581E">
        <w:rPr>
          <w:rFonts w:cstheme="minorHAnsi"/>
          <w:color w:val="000000" w:themeColor="text1"/>
          <w:shd w:val="clear" w:color="auto" w:fill="FFFFFF"/>
        </w:rPr>
        <w:t>, United Nations, New York,</w:t>
      </w:r>
      <w:r w:rsidRPr="00FB581E">
        <w:rPr>
          <w:rStyle w:val="apple-converted-space"/>
          <w:rFonts w:cstheme="minorHAnsi"/>
          <w:color w:val="000000" w:themeColor="text1"/>
          <w:shd w:val="clear" w:color="auto" w:fill="FFFFFF"/>
        </w:rPr>
        <w:t> </w:t>
      </w:r>
      <w:r w:rsidRPr="00CE44A9">
        <w:rPr>
          <w:rFonts w:cstheme="minorHAnsi"/>
          <w:color w:val="000000" w:themeColor="text1"/>
        </w:rPr>
        <w:t>https://doi.org/10.18356/a8b026a1-en</w:t>
      </w:r>
      <w:r w:rsidRPr="00FB581E">
        <w:rPr>
          <w:rFonts w:cstheme="minorHAnsi"/>
          <w:color w:val="000000" w:themeColor="text1"/>
          <w:shd w:val="clear" w:color="auto" w:fill="FFFFFF"/>
        </w:rPr>
        <w:t>.</w:t>
      </w:r>
    </w:p>
    <w:p w:rsidR="008D166C" w:rsidRDefault="008D166C" w:rsidP="008D166C">
      <w:pPr>
        <w:rPr>
          <w:rFonts w:ascii="Palatino" w:eastAsia="Times New Roman" w:hAnsi="Palatino" w:cs="Times New Roman"/>
          <w:szCs w:val="20"/>
        </w:rPr>
      </w:pPr>
    </w:p>
    <w:p w:rsidR="008D166C" w:rsidRDefault="008D166C" w:rsidP="008D166C">
      <w:pPr>
        <w:rPr>
          <w:rFonts w:ascii="Palatino" w:eastAsia="Times New Roman" w:hAnsi="Palatino" w:cs="Times New Roman"/>
          <w:szCs w:val="20"/>
        </w:rPr>
      </w:pPr>
      <w:r>
        <w:rPr>
          <w:rFonts w:ascii="Palatino" w:eastAsia="Times New Roman" w:hAnsi="Palatino" w:cs="Times New Roman"/>
          <w:szCs w:val="20"/>
        </w:rPr>
        <w:t xml:space="preserve">World Health Organization. (2018). </w:t>
      </w:r>
      <w:r w:rsidRPr="00844054">
        <w:rPr>
          <w:rFonts w:ascii="Palatino" w:eastAsia="Times New Roman" w:hAnsi="Palatino" w:cs="Times New Roman"/>
          <w:szCs w:val="20"/>
        </w:rPr>
        <w:t>Global H</w:t>
      </w:r>
      <w:r>
        <w:rPr>
          <w:rFonts w:ascii="Palatino" w:eastAsia="Times New Roman" w:hAnsi="Palatino" w:cs="Times New Roman"/>
          <w:szCs w:val="20"/>
        </w:rPr>
        <w:t xml:space="preserve">ealth Observatory Country Views – </w:t>
      </w:r>
      <w:r w:rsidRPr="00844054">
        <w:rPr>
          <w:rFonts w:ascii="Palatino" w:eastAsia="Times New Roman" w:hAnsi="Palatino" w:cs="Times New Roman"/>
          <w:szCs w:val="20"/>
        </w:rPr>
        <w:t>Spain Statistics Summary (2002-Present) table</w:t>
      </w:r>
      <w:r>
        <w:rPr>
          <w:rFonts w:ascii="Palatino" w:eastAsia="Times New Roman" w:hAnsi="Palatino" w:cs="Times New Roman"/>
          <w:szCs w:val="20"/>
        </w:rPr>
        <w:t>.</w:t>
      </w:r>
      <w:r w:rsidRPr="00844054">
        <w:rPr>
          <w:rFonts w:ascii="Palatino" w:eastAsia="Times New Roman" w:hAnsi="Palatino" w:cs="Times New Roman"/>
          <w:szCs w:val="20"/>
        </w:rPr>
        <w:t xml:space="preserve"> </w:t>
      </w:r>
      <w:r>
        <w:rPr>
          <w:rFonts w:ascii="Palatino" w:eastAsia="Times New Roman" w:hAnsi="Palatino" w:cs="Times New Roman"/>
          <w:szCs w:val="20"/>
        </w:rPr>
        <w:t xml:space="preserve">Retrieved on September 18, 2018 from </w:t>
      </w:r>
      <w:hyperlink r:id="rId5" w:history="1">
        <w:r w:rsidRPr="00060FF1">
          <w:rPr>
            <w:rStyle w:val="Hyperlink"/>
            <w:rFonts w:ascii="Palatino" w:eastAsia="Times New Roman" w:hAnsi="Palatino" w:cs="Times New Roman"/>
            <w:szCs w:val="20"/>
          </w:rPr>
          <w:t>http://apps.who.int/gho/data/node.country.countryESP?TSPD_101_R0=dbc51a3ae58b52c2f120b98caa0900epEr000000000000000296c72632ffff0000000000000000000000000005ba7d57100434b9a8a</w:t>
        </w:r>
      </w:hyperlink>
      <w:r>
        <w:rPr>
          <w:rFonts w:ascii="Palatino" w:eastAsia="Times New Roman" w:hAnsi="Palatino" w:cs="Times New Roman"/>
          <w:szCs w:val="20"/>
        </w:rPr>
        <w:t>.</w:t>
      </w:r>
    </w:p>
    <w:p w:rsidR="008D166C" w:rsidRPr="00AD156E" w:rsidRDefault="008D166C" w:rsidP="008D166C">
      <w:r>
        <w:t xml:space="preserve">Avert. (2018). HIV and AIDS in W &amp; C Europe &amp; N America Regional Overview. Retrieved September 18, 2018 from </w:t>
      </w:r>
      <w:hyperlink r:id="rId6" w:history="1">
        <w:r w:rsidRPr="00060FF1">
          <w:rPr>
            <w:rStyle w:val="Hyperlink"/>
          </w:rPr>
          <w:t>https://www.avert.org/about-us-hub</w:t>
        </w:r>
      </w:hyperlink>
      <w:r>
        <w:t xml:space="preserve">. </w:t>
      </w:r>
    </w:p>
    <w:p w:rsidR="008D166C" w:rsidRPr="00CE44A9" w:rsidRDefault="008D166C" w:rsidP="008D166C">
      <w:pPr>
        <w:rPr>
          <w:rFonts w:cstheme="minorHAnsi"/>
          <w:color w:val="000000" w:themeColor="text1"/>
        </w:rPr>
      </w:pPr>
    </w:p>
    <w:p w:rsidR="008D166C" w:rsidRDefault="008D166C"/>
    <w:p w:rsidR="008D166C" w:rsidRDefault="008D166C">
      <w:pPr>
        <w:rPr>
          <w:b/>
          <w:u w:val="single"/>
        </w:rPr>
      </w:pPr>
      <w:r w:rsidRPr="008D166C">
        <w:rPr>
          <w:b/>
          <w:u w:val="single"/>
        </w:rPr>
        <w:t>Country Portfolio 2</w:t>
      </w:r>
    </w:p>
    <w:p w:rsidR="008D166C" w:rsidRDefault="008D166C">
      <w:pPr>
        <w:rPr>
          <w:b/>
          <w:u w:val="single"/>
        </w:rPr>
      </w:pPr>
    </w:p>
    <w:p w:rsidR="008D166C" w:rsidRPr="00A604EA" w:rsidRDefault="008D166C" w:rsidP="008D166C">
      <w:pPr>
        <w:spacing w:line="480" w:lineRule="auto"/>
        <w:jc w:val="center"/>
        <w:rPr>
          <w:rFonts w:ascii="Times New Roman" w:hAnsi="Times New Roman" w:cs="Times New Roman"/>
        </w:rPr>
      </w:pPr>
      <w:r w:rsidRPr="00A604EA">
        <w:rPr>
          <w:rFonts w:ascii="Times New Roman" w:hAnsi="Times New Roman" w:cs="Times New Roman"/>
        </w:rPr>
        <w:t>Health Systems in Spain</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 xml:space="preserve">Spain possesses a healthcare system that covers health needs to all Spanish nationals. The fact that the health system is founded on universal healthcare accords tourists and non-residents a right to treatment although sometimes non-residents access health services at a nominal fee. Tourists from European Union receive free medical services for a period of three months after which they are required to acquire a European Health Insurance Card. </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lastRenderedPageBreak/>
        <w:t>Spain’s nationwide healthcare system offers 100% of all the citizens’ healthcare needs</w:t>
      </w:r>
      <w:sdt>
        <w:sdtPr>
          <w:rPr>
            <w:rFonts w:ascii="Times New Roman" w:hAnsi="Times New Roman" w:cs="Times New Roman"/>
          </w:rPr>
          <w:id w:val="98037860"/>
          <w:citation/>
        </w:sdtPr>
        <w:sdtContent>
          <w:r>
            <w:rPr>
              <w:rFonts w:ascii="Times New Roman" w:hAnsi="Times New Roman" w:cs="Times New Roman"/>
            </w:rPr>
            <w:fldChar w:fldCharType="begin"/>
          </w:r>
          <w:r>
            <w:rPr>
              <w:rFonts w:ascii="Times New Roman" w:hAnsi="Times New Roman" w:cs="Times New Roman"/>
            </w:rPr>
            <w:instrText xml:space="preserve"> CITATION Lar14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(Lara, 2014)</w:t>
          </w:r>
          <w:r>
            <w:rPr>
              <w:rFonts w:ascii="Times New Roman" w:hAnsi="Times New Roman" w:cs="Times New Roman"/>
            </w:rPr>
            <w:fldChar w:fldCharType="end"/>
          </w:r>
        </w:sdtContent>
      </w:sdt>
      <w:r w:rsidRPr="00A604EA">
        <w:rPr>
          <w:rFonts w:ascii="Times New Roman" w:hAnsi="Times New Roman" w:cs="Times New Roman"/>
        </w:rPr>
        <w:t>. The system is decentralized to increase the accessibility of all people in the country, thus ensuring the health services are concentrated in urban areas. Major reforms have been done in regionalizing the healthcare system to foster immediate response and encourage the participation of the targeted people in the growth and efficient management of medical services at both local and regional levels. The Spain National Healthcare System is structurally organized in three levels.</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The first level is the central administration agency</w:t>
      </w:r>
      <w:sdt>
        <w:sdtPr>
          <w:rPr>
            <w:rFonts w:ascii="Times New Roman" w:hAnsi="Times New Roman" w:cs="Times New Roman"/>
          </w:rPr>
          <w:id w:val="98037861"/>
          <w:citation/>
        </w:sdtPr>
        <w:sdtContent>
          <w:r>
            <w:rPr>
              <w:rFonts w:ascii="Times New Roman" w:hAnsi="Times New Roman" w:cs="Times New Roman"/>
            </w:rPr>
            <w:fldChar w:fldCharType="begin"/>
          </w:r>
          <w:r>
            <w:rPr>
              <w:rFonts w:ascii="Times New Roman" w:hAnsi="Times New Roman" w:cs="Times New Roman"/>
            </w:rPr>
            <w:instrText xml:space="preserve"> CITATION Gar11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(Garcia, 2011)</w:t>
          </w:r>
          <w:r>
            <w:rPr>
              <w:rFonts w:ascii="Times New Roman" w:hAnsi="Times New Roman" w:cs="Times New Roman"/>
            </w:rPr>
            <w:fldChar w:fldCharType="end"/>
          </w:r>
        </w:sdtContent>
      </w:sdt>
      <w:r w:rsidRPr="00A604EA">
        <w:rPr>
          <w:rFonts w:ascii="Times New Roman" w:hAnsi="Times New Roman" w:cs="Times New Roman"/>
        </w:rPr>
        <w:t>. It is the national’s ministry of health which is mandated with the responsibility of raising health proposals, improving and facilitating plans set to lessen the use of illegal drugs, and arranging and implementing the government plans in relation to good health.</w:t>
      </w:r>
    </w:p>
    <w:p w:rsidR="008D166C" w:rsidRPr="00A604EA" w:rsidRDefault="008D166C" w:rsidP="008D166C">
      <w:pPr>
        <w:spacing w:line="480" w:lineRule="auto"/>
        <w:ind w:firstLine="720"/>
        <w:rPr>
          <w:rFonts w:ascii="Times New Roman" w:hAnsi="Times New Roman" w:cs="Times New Roman"/>
        </w:rPr>
      </w:pPr>
      <w:r>
        <w:rPr>
          <w:rFonts w:ascii="Times New Roman" w:hAnsi="Times New Roman" w:cs="Times New Roman"/>
        </w:rPr>
        <w:t xml:space="preserve">The second </w:t>
      </w:r>
      <w:r w:rsidRPr="00A604EA">
        <w:rPr>
          <w:rFonts w:ascii="Times New Roman" w:hAnsi="Times New Roman" w:cs="Times New Roman"/>
        </w:rPr>
        <w:t>level is the autonomous/independent agency. The autonomous agency has the mandate to offer healthcare services to the 17 independent communities in the co</w:t>
      </w:r>
      <w:r>
        <w:rPr>
          <w:rFonts w:ascii="Times New Roman" w:hAnsi="Times New Roman" w:cs="Times New Roman"/>
        </w:rPr>
        <w:t>untry. Each of the set communities</w:t>
      </w:r>
      <w:r w:rsidRPr="00A604EA">
        <w:rPr>
          <w:rFonts w:ascii="Times New Roman" w:hAnsi="Times New Roman" w:cs="Times New Roman"/>
        </w:rPr>
        <w:t xml:space="preserve"> must cover the health needs of the inhabitants through services, establishments, and centers of the society.</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The third is the local level which is a vital structure of the nation’s healthcare system. It is mandated the accountability of the overall management the medical services covered at autonomous agency. The local level is determined in consideration of the aspects of socioeconomics, demography, geography, employment, culture, climate and epidemiology</w:t>
      </w:r>
      <w:sdt>
        <w:sdtPr>
          <w:rPr>
            <w:rFonts w:ascii="Times New Roman" w:hAnsi="Times New Roman" w:cs="Times New Roman"/>
          </w:rPr>
          <w:id w:val="98037862"/>
          <w:citation/>
        </w:sdtPr>
        <w:sdtContent>
          <w:r>
            <w:rPr>
              <w:rFonts w:ascii="Times New Roman" w:hAnsi="Times New Roman" w:cs="Times New Roman"/>
            </w:rPr>
            <w:fldChar w:fldCharType="begin"/>
          </w:r>
          <w:r>
            <w:rPr>
              <w:rFonts w:ascii="Times New Roman" w:hAnsi="Times New Roman" w:cs="Times New Roman"/>
            </w:rPr>
            <w:instrText xml:space="preserve"> CITATION Gar11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(Garcia, 2011)</w:t>
          </w:r>
          <w:r>
            <w:rPr>
              <w:rFonts w:ascii="Times New Roman" w:hAnsi="Times New Roman" w:cs="Times New Roman"/>
            </w:rPr>
            <w:fldChar w:fldCharType="end"/>
          </w:r>
        </w:sdtContent>
      </w:sdt>
      <w:r w:rsidRPr="00A604EA">
        <w:rPr>
          <w:rFonts w:ascii="Times New Roman" w:hAnsi="Times New Roman" w:cs="Times New Roman"/>
        </w:rPr>
        <w:t>. In order to increase accessibility and efficiency of healthcare services the local level is divided into smaller units.</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 xml:space="preserve">In addition, there is a private healthcare in the nation. Services offered in private clinics and hospitals are paid by either direct payment or through private insurance card. The nation’s </w:t>
      </w:r>
      <w:r w:rsidRPr="00A604EA">
        <w:rPr>
          <w:rFonts w:ascii="Times New Roman" w:hAnsi="Times New Roman" w:cs="Times New Roman"/>
        </w:rPr>
        <w:lastRenderedPageBreak/>
        <w:t>private healthcare offers extra alternatives such as immediate services when there are long queues in public healthcares</w:t>
      </w:r>
      <w:sdt>
        <w:sdtPr>
          <w:rPr>
            <w:rFonts w:ascii="Times New Roman" w:hAnsi="Times New Roman" w:cs="Times New Roman"/>
          </w:rPr>
          <w:id w:val="98037863"/>
          <w:citation/>
        </w:sdtPr>
        <w:sdtContent>
          <w:r>
            <w:rPr>
              <w:rFonts w:ascii="Times New Roman" w:hAnsi="Times New Roman" w:cs="Times New Roman"/>
            </w:rPr>
            <w:fldChar w:fldCharType="begin"/>
          </w:r>
          <w:r>
            <w:rPr>
              <w:rFonts w:ascii="Times New Roman" w:hAnsi="Times New Roman" w:cs="Times New Roman"/>
            </w:rPr>
            <w:instrText xml:space="preserve"> CITATION Luq09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(Luque, 2009)</w:t>
          </w:r>
          <w:r>
            <w:rPr>
              <w:rFonts w:ascii="Times New Roman" w:hAnsi="Times New Roman" w:cs="Times New Roman"/>
            </w:rPr>
            <w:fldChar w:fldCharType="end"/>
          </w:r>
        </w:sdtContent>
      </w:sdt>
      <w:r w:rsidRPr="00A604EA">
        <w:rPr>
          <w:rFonts w:ascii="Times New Roman" w:hAnsi="Times New Roman" w:cs="Times New Roman"/>
        </w:rPr>
        <w:t xml:space="preserve">. Moreover, similar to public hospitals, private healthcares provide services such express mailing of test outcomes, efficient communication with patients and offer private rooms. </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Spain’s health cultural practices have significantly led to the success of the health. Firstly, the national healthcare insists on immunization and dental health. The public system provides free dental care to young children up to the age of 13-18 years</w:t>
      </w:r>
      <w:sdt>
        <w:sdtPr>
          <w:rPr>
            <w:rFonts w:ascii="Times New Roman" w:hAnsi="Times New Roman" w:cs="Times New Roman"/>
          </w:rPr>
          <w:id w:val="98037864"/>
          <w:citation/>
        </w:sdtPr>
        <w:sdtContent>
          <w:r>
            <w:rPr>
              <w:rFonts w:ascii="Times New Roman" w:hAnsi="Times New Roman" w:cs="Times New Roman"/>
            </w:rPr>
            <w:fldChar w:fldCharType="begin"/>
          </w:r>
          <w:r>
            <w:rPr>
              <w:rFonts w:ascii="Times New Roman" w:hAnsi="Times New Roman" w:cs="Times New Roman"/>
            </w:rPr>
            <w:instrText xml:space="preserve"> CITATION Luq09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(Luque, 2009)</w:t>
          </w:r>
          <w:r>
            <w:rPr>
              <w:rFonts w:ascii="Times New Roman" w:hAnsi="Times New Roman" w:cs="Times New Roman"/>
            </w:rPr>
            <w:fldChar w:fldCharType="end"/>
          </w:r>
        </w:sdtContent>
      </w:sdt>
      <w:r w:rsidRPr="00A604EA">
        <w:rPr>
          <w:rFonts w:ascii="Times New Roman" w:hAnsi="Times New Roman" w:cs="Times New Roman"/>
        </w:rPr>
        <w:t>. The systems entail annual checkups of oral cavities as well as dental fillings. In relation to immunization, Spain is the fifth country in the world to offer vaccines. The diseases which are preventable through vaccines have remarkably reduced in the last two decades.</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Another significant practice which has massively contributed to the success of healthcare is emphasis on child and maternal health. In 1995, the rate of maternal mortality was reported as 3.0 deaths per 100000 births and the 2 decades rate the rate was reported as 2.0 deaths per 100000 deaths</w:t>
      </w:r>
      <w:sdt>
        <w:sdtPr>
          <w:rPr>
            <w:rFonts w:ascii="Times New Roman" w:hAnsi="Times New Roman" w:cs="Times New Roman"/>
          </w:rPr>
          <w:id w:val="98037865"/>
          <w:citation/>
        </w:sdtPr>
        <w:sdtContent>
          <w:r>
            <w:rPr>
              <w:rFonts w:ascii="Times New Roman" w:hAnsi="Times New Roman" w:cs="Times New Roman"/>
            </w:rPr>
            <w:fldChar w:fldCharType="begin"/>
          </w:r>
          <w:r>
            <w:rPr>
              <w:rFonts w:ascii="Times New Roman" w:hAnsi="Times New Roman" w:cs="Times New Roman"/>
            </w:rPr>
            <w:instrText xml:space="preserve"> CITATION Luq09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(Luque, 2009)</w:t>
          </w:r>
          <w:r>
            <w:rPr>
              <w:rFonts w:ascii="Times New Roman" w:hAnsi="Times New Roman" w:cs="Times New Roman"/>
            </w:rPr>
            <w:fldChar w:fldCharType="end"/>
          </w:r>
        </w:sdtContent>
      </w:sdt>
      <w:r w:rsidRPr="00A604EA">
        <w:rPr>
          <w:rFonts w:ascii="Times New Roman" w:hAnsi="Times New Roman" w:cs="Times New Roman"/>
        </w:rPr>
        <w:t>. This dramatic reduction in maternal mortality in the last two decades is apparent that the healthcare in the country is a success.</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However</w:t>
      </w:r>
      <w:r>
        <w:rPr>
          <w:rFonts w:ascii="Times New Roman" w:hAnsi="Times New Roman" w:cs="Times New Roman"/>
        </w:rPr>
        <w:t>,</w:t>
      </w:r>
      <w:r w:rsidRPr="00A604EA">
        <w:rPr>
          <w:rFonts w:ascii="Times New Roman" w:hAnsi="Times New Roman" w:cs="Times New Roman"/>
        </w:rPr>
        <w:t xml:space="preserve"> there a</w:t>
      </w:r>
      <w:r>
        <w:rPr>
          <w:rFonts w:ascii="Times New Roman" w:hAnsi="Times New Roman" w:cs="Times New Roman"/>
        </w:rPr>
        <w:t xml:space="preserve">re cultural factors that are harmful to </w:t>
      </w:r>
      <w:r w:rsidRPr="00A604EA">
        <w:rPr>
          <w:rFonts w:ascii="Times New Roman" w:hAnsi="Times New Roman" w:cs="Times New Roman"/>
        </w:rPr>
        <w:t>health in Spain. One of the common practices that are harmful to health is legal abortion</w:t>
      </w:r>
      <w:sdt>
        <w:sdtPr>
          <w:rPr>
            <w:rFonts w:ascii="Times New Roman" w:hAnsi="Times New Roman" w:cs="Times New Roman"/>
          </w:rPr>
          <w:id w:val="98037866"/>
          <w:citation/>
        </w:sdtPr>
        <w:sdtContent>
          <w:r>
            <w:rPr>
              <w:rFonts w:ascii="Times New Roman" w:hAnsi="Times New Roman" w:cs="Times New Roman"/>
            </w:rPr>
            <w:fldChar w:fldCharType="begin"/>
          </w:r>
          <w:r>
            <w:rPr>
              <w:rFonts w:ascii="Times New Roman" w:hAnsi="Times New Roman" w:cs="Times New Roman"/>
            </w:rPr>
            <w:instrText xml:space="preserve"> CITATION Luq09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(Luque, 2009)</w:t>
          </w:r>
          <w:r>
            <w:rPr>
              <w:rFonts w:ascii="Times New Roman" w:hAnsi="Times New Roman" w:cs="Times New Roman"/>
            </w:rPr>
            <w:fldChar w:fldCharType="end"/>
          </w:r>
        </w:sdtContent>
      </w:sdt>
      <w:r w:rsidRPr="00A604EA">
        <w:rPr>
          <w:rFonts w:ascii="Times New Roman" w:hAnsi="Times New Roman" w:cs="Times New Roman"/>
        </w:rPr>
        <w:t>. In relation to this practice, one is accorded the right to abort in circumstances of threat to the mother’s health, case of mental illness and rape. Regardless of the circumstance, abortion is dangerous and can lead to death of whoever is undergoing the activity. Abortion has contributed to the rate of deaths and increased health problems in the country.</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 xml:space="preserve">Another practice that is harmful to health is the nutrition taboo. Nutrition is important in a health of an individual; however, poor feeding can lead to detrimental effects of health. Spain in </w:t>
      </w:r>
      <w:r w:rsidRPr="00A604EA">
        <w:rPr>
          <w:rFonts w:ascii="Times New Roman" w:hAnsi="Times New Roman" w:cs="Times New Roman"/>
        </w:rPr>
        <w:lastRenderedPageBreak/>
        <w:t>particular has recorded an increase in the number of people with obesity</w:t>
      </w:r>
      <w:sdt>
        <w:sdtPr>
          <w:rPr>
            <w:rFonts w:ascii="Times New Roman" w:hAnsi="Times New Roman" w:cs="Times New Roman"/>
          </w:rPr>
          <w:id w:val="98037867"/>
          <w:citation/>
        </w:sdtPr>
        <w:sdtContent>
          <w:r>
            <w:rPr>
              <w:rFonts w:ascii="Times New Roman" w:hAnsi="Times New Roman" w:cs="Times New Roman"/>
            </w:rPr>
            <w:fldChar w:fldCharType="begin"/>
          </w:r>
          <w:r>
            <w:rPr>
              <w:rFonts w:ascii="Times New Roman" w:hAnsi="Times New Roman" w:cs="Times New Roman"/>
            </w:rPr>
            <w:instrText xml:space="preserve"> CITATION Gar11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(Garcia, 2011)</w:t>
          </w:r>
          <w:r>
            <w:rPr>
              <w:rFonts w:ascii="Times New Roman" w:hAnsi="Times New Roman" w:cs="Times New Roman"/>
            </w:rPr>
            <w:fldChar w:fldCharType="end"/>
          </w:r>
        </w:sdtContent>
      </w:sdt>
      <w:r w:rsidRPr="00A604EA">
        <w:rPr>
          <w:rFonts w:ascii="Times New Roman" w:hAnsi="Times New Roman" w:cs="Times New Roman"/>
        </w:rPr>
        <w:t>. Obesity is a health problem that has significantly lowered the life expectancy in the country in the last two decades.</w:t>
      </w:r>
    </w:p>
    <w:p w:rsidR="008D166C" w:rsidRPr="00A604EA" w:rsidRDefault="008D166C" w:rsidP="008D166C">
      <w:pPr>
        <w:spacing w:line="480" w:lineRule="auto"/>
        <w:ind w:firstLine="720"/>
        <w:rPr>
          <w:rFonts w:ascii="Times New Roman" w:hAnsi="Times New Roman" w:cs="Times New Roman"/>
        </w:rPr>
      </w:pPr>
      <w:r w:rsidRPr="00A604EA">
        <w:rPr>
          <w:rFonts w:ascii="Times New Roman" w:hAnsi="Times New Roman" w:cs="Times New Roman"/>
        </w:rPr>
        <w:t xml:space="preserve">Another culture adopted by youths that is equally dangerous is drug abuse and sex abuse. Drug abuse has increased the number of </w:t>
      </w:r>
      <w:proofErr w:type="gramStart"/>
      <w:r w:rsidRPr="00A604EA">
        <w:rPr>
          <w:rFonts w:ascii="Times New Roman" w:hAnsi="Times New Roman" w:cs="Times New Roman"/>
        </w:rPr>
        <w:t>health related</w:t>
      </w:r>
      <w:proofErr w:type="gramEnd"/>
      <w:r w:rsidRPr="00A604EA">
        <w:rPr>
          <w:rFonts w:ascii="Times New Roman" w:hAnsi="Times New Roman" w:cs="Times New Roman"/>
        </w:rPr>
        <w:t xml:space="preserve"> problems in the country. The national health system has sacrificed many resources to curb the raising issues. In account to sexual abuse, it has led to many problems both directly and indirectly</w:t>
      </w:r>
      <w:sdt>
        <w:sdtPr>
          <w:rPr>
            <w:rFonts w:ascii="Times New Roman" w:hAnsi="Times New Roman" w:cs="Times New Roman"/>
          </w:rPr>
          <w:id w:val="98037868"/>
          <w:citation/>
        </w:sdtPr>
        <w:sdtContent>
          <w:r>
            <w:rPr>
              <w:rFonts w:ascii="Times New Roman" w:hAnsi="Times New Roman" w:cs="Times New Roman"/>
            </w:rPr>
            <w:fldChar w:fldCharType="begin"/>
          </w:r>
          <w:r>
            <w:rPr>
              <w:rFonts w:ascii="Times New Roman" w:hAnsi="Times New Roman" w:cs="Times New Roman"/>
            </w:rPr>
            <w:instrText xml:space="preserve"> CITATION Lar14 \l 1033 </w:instrText>
          </w:r>
          <w:r>
            <w:rPr>
              <w:rFonts w:ascii="Times New Roman" w:hAnsi="Times New Roman" w:cs="Times New Roman"/>
            </w:rPr>
            <w:fldChar w:fldCharType="separate"/>
          </w:r>
          <w:r>
            <w:rPr>
              <w:rFonts w:ascii="Times New Roman" w:hAnsi="Times New Roman" w:cs="Times New Roman"/>
              <w:noProof/>
            </w:rPr>
            <w:t xml:space="preserve"> </w:t>
          </w:r>
          <w:r w:rsidRPr="00CF6320">
            <w:rPr>
              <w:rFonts w:ascii="Times New Roman" w:hAnsi="Times New Roman" w:cs="Times New Roman"/>
              <w:noProof/>
            </w:rPr>
            <w:t>(Lara, 2014)</w:t>
          </w:r>
          <w:r>
            <w:rPr>
              <w:rFonts w:ascii="Times New Roman" w:hAnsi="Times New Roman" w:cs="Times New Roman"/>
            </w:rPr>
            <w:fldChar w:fldCharType="end"/>
          </w:r>
        </w:sdtContent>
      </w:sdt>
      <w:r w:rsidRPr="00A604EA">
        <w:rPr>
          <w:rFonts w:ascii="Times New Roman" w:hAnsi="Times New Roman" w:cs="Times New Roman"/>
        </w:rPr>
        <w:t>. Direct health effects are HIV/AIDS and STIS. Drugs intoxication result to poor decisions and encounter between girl results to pregnancies. This can cause health effects in young girls as well as health issues to infants.</w:t>
      </w:r>
    </w:p>
    <w:p w:rsidR="008D166C" w:rsidRDefault="008D166C" w:rsidP="008D166C">
      <w:pPr>
        <w:spacing w:line="480" w:lineRule="auto"/>
        <w:rPr>
          <w:rFonts w:ascii="Times New Roman" w:hAnsi="Times New Roman" w:cs="Times New Roman"/>
        </w:rPr>
      </w:pPr>
    </w:p>
    <w:p w:rsidR="008D166C" w:rsidRDefault="008D166C" w:rsidP="008D166C">
      <w:pPr>
        <w:spacing w:line="480" w:lineRule="auto"/>
        <w:jc w:val="center"/>
        <w:rPr>
          <w:rFonts w:ascii="Times New Roman" w:hAnsi="Times New Roman" w:cs="Times New Roman"/>
        </w:rPr>
      </w:pPr>
    </w:p>
    <w:p w:rsidR="008D166C" w:rsidRPr="00A604EA" w:rsidRDefault="008D166C" w:rsidP="008D166C">
      <w:pPr>
        <w:spacing w:line="480" w:lineRule="auto"/>
        <w:jc w:val="center"/>
        <w:rPr>
          <w:rFonts w:ascii="Times New Roman" w:hAnsi="Times New Roman" w:cs="Times New Roman"/>
        </w:rPr>
      </w:pPr>
      <w:r w:rsidRPr="00A604EA">
        <w:rPr>
          <w:rFonts w:ascii="Times New Roman" w:hAnsi="Times New Roman" w:cs="Times New Roman"/>
        </w:rPr>
        <w:t>References</w:t>
      </w:r>
    </w:p>
    <w:p w:rsidR="008D166C" w:rsidRPr="00551031" w:rsidRDefault="008D166C" w:rsidP="008D166C">
      <w:pPr>
        <w:pStyle w:val="Bibliography"/>
        <w:ind w:left="720" w:hanging="720"/>
        <w:rPr>
          <w:rFonts w:ascii="Times New Roman" w:hAnsi="Times New Roman" w:cs="Times New Roman"/>
          <w:noProof/>
        </w:rPr>
      </w:pPr>
      <w:r w:rsidRPr="001D51D6">
        <w:rPr>
          <w:rFonts w:ascii="Times New Roman" w:hAnsi="Times New Roman" w:cs="Times New Roman"/>
        </w:rPr>
        <w:fldChar w:fldCharType="begin"/>
      </w:r>
      <w:r w:rsidRPr="001D51D6">
        <w:rPr>
          <w:rFonts w:ascii="Times New Roman" w:hAnsi="Times New Roman" w:cs="Times New Roman"/>
        </w:rPr>
        <w:instrText xml:space="preserve"> BIBLIOGRAPHY  \l 1033 </w:instrText>
      </w:r>
      <w:r w:rsidRPr="001D51D6">
        <w:rPr>
          <w:rFonts w:ascii="Times New Roman" w:hAnsi="Times New Roman" w:cs="Times New Roman"/>
        </w:rPr>
        <w:fldChar w:fldCharType="separate"/>
      </w:r>
      <w:r w:rsidRPr="001D51D6">
        <w:rPr>
          <w:rFonts w:ascii="Times New Roman" w:hAnsi="Times New Roman" w:cs="Times New Roman"/>
          <w:noProof/>
        </w:rPr>
        <w:t xml:space="preserve">Garcia, P. (2011). Public and private Health Insurance and the Utilization of Health Care in Spain. </w:t>
      </w:r>
      <w:r w:rsidRPr="001D51D6">
        <w:rPr>
          <w:rFonts w:ascii="Times New Roman" w:hAnsi="Times New Roman" w:cs="Times New Roman"/>
          <w:i/>
          <w:iCs/>
          <w:noProof/>
        </w:rPr>
        <w:t>Research on Economic Equality</w:t>
      </w:r>
      <w:r w:rsidRPr="001D51D6">
        <w:rPr>
          <w:rFonts w:ascii="Times New Roman" w:hAnsi="Times New Roman" w:cs="Times New Roman"/>
          <w:noProof/>
        </w:rPr>
        <w:t xml:space="preserve"> , 169-195.</w:t>
      </w:r>
      <w:r>
        <w:rPr>
          <w:rFonts w:ascii="Times New Roman" w:hAnsi="Times New Roman" w:cs="Times New Roman"/>
          <w:noProof/>
        </w:rPr>
        <w:t xml:space="preserve">  </w:t>
      </w:r>
    </w:p>
    <w:p w:rsidR="008D166C" w:rsidRPr="001D51D6" w:rsidRDefault="008D166C" w:rsidP="008D166C">
      <w:pPr>
        <w:pStyle w:val="Bibliography"/>
        <w:ind w:left="720" w:hanging="720"/>
        <w:rPr>
          <w:rFonts w:ascii="Times New Roman" w:hAnsi="Times New Roman" w:cs="Times New Roman"/>
          <w:noProof/>
        </w:rPr>
      </w:pPr>
      <w:r w:rsidRPr="001D51D6">
        <w:rPr>
          <w:rFonts w:ascii="Times New Roman" w:hAnsi="Times New Roman" w:cs="Times New Roman"/>
          <w:noProof/>
        </w:rPr>
        <w:t xml:space="preserve">Lara, L. (2014). Issues regarding spanish psychiatric reforms. </w:t>
      </w:r>
      <w:r w:rsidRPr="001D51D6">
        <w:rPr>
          <w:rFonts w:ascii="Times New Roman" w:hAnsi="Times New Roman" w:cs="Times New Roman"/>
          <w:i/>
          <w:iCs/>
          <w:noProof/>
        </w:rPr>
        <w:t>Health System review</w:t>
      </w:r>
      <w:r w:rsidRPr="001D51D6">
        <w:rPr>
          <w:rFonts w:ascii="Times New Roman" w:hAnsi="Times New Roman" w:cs="Times New Roman"/>
          <w:noProof/>
        </w:rPr>
        <w:t xml:space="preserve"> , 167-175.</w:t>
      </w:r>
    </w:p>
    <w:p w:rsidR="008D166C" w:rsidRPr="001D51D6" w:rsidRDefault="008D166C" w:rsidP="008D166C">
      <w:pPr>
        <w:pStyle w:val="Bibliography"/>
        <w:ind w:left="720" w:hanging="720"/>
        <w:rPr>
          <w:rFonts w:ascii="Times New Roman" w:hAnsi="Times New Roman" w:cs="Times New Roman"/>
          <w:noProof/>
        </w:rPr>
      </w:pPr>
      <w:r w:rsidRPr="001D51D6">
        <w:rPr>
          <w:rFonts w:ascii="Times New Roman" w:hAnsi="Times New Roman" w:cs="Times New Roman"/>
          <w:noProof/>
        </w:rPr>
        <w:t xml:space="preserve">Luque, F. (2009). Increase in Maternal Mortality Associated with Change in the Reproductive Pattern in Spain. </w:t>
      </w:r>
      <w:r w:rsidRPr="001D51D6">
        <w:rPr>
          <w:rFonts w:ascii="Times New Roman" w:hAnsi="Times New Roman" w:cs="Times New Roman"/>
          <w:i/>
          <w:iCs/>
          <w:noProof/>
        </w:rPr>
        <w:t>Journal of Epidemiology &amp; Community Health</w:t>
      </w:r>
      <w:r w:rsidRPr="001D51D6">
        <w:rPr>
          <w:rFonts w:ascii="Times New Roman" w:hAnsi="Times New Roman" w:cs="Times New Roman"/>
          <w:noProof/>
        </w:rPr>
        <w:t xml:space="preserve"> , 422-438.</w:t>
      </w:r>
    </w:p>
    <w:p w:rsidR="008D166C" w:rsidRDefault="008D166C" w:rsidP="008D166C">
      <w:pPr>
        <w:spacing w:line="480" w:lineRule="auto"/>
        <w:ind w:left="720" w:hanging="720"/>
        <w:rPr>
          <w:rFonts w:ascii="Times New Roman" w:hAnsi="Times New Roman" w:cs="Times New Roman"/>
        </w:rPr>
      </w:pPr>
      <w:r w:rsidRPr="001D51D6">
        <w:rPr>
          <w:rFonts w:ascii="Times New Roman" w:hAnsi="Times New Roman" w:cs="Times New Roman"/>
        </w:rPr>
        <w:fldChar w:fldCharType="end"/>
      </w:r>
    </w:p>
    <w:p w:rsidR="008D166C" w:rsidRDefault="008D166C" w:rsidP="008D166C">
      <w:pPr>
        <w:rPr>
          <w:rFonts w:ascii="Times New Roman" w:hAnsi="Times New Roman" w:cs="Times New Roman"/>
        </w:rPr>
      </w:pPr>
    </w:p>
    <w:p w:rsidR="008D166C" w:rsidRDefault="008D166C" w:rsidP="008D166C">
      <w:pPr>
        <w:rPr>
          <w:rFonts w:ascii="Times New Roman" w:hAnsi="Times New Roman" w:cs="Times New Roman"/>
        </w:rPr>
      </w:pPr>
    </w:p>
    <w:p w:rsidR="008D166C" w:rsidRDefault="008D166C" w:rsidP="008D166C">
      <w:pPr>
        <w:rPr>
          <w:rFonts w:ascii="Times New Roman" w:hAnsi="Times New Roman" w:cs="Times New Roman"/>
        </w:rPr>
      </w:pPr>
    </w:p>
    <w:p w:rsidR="008D166C" w:rsidRDefault="008D166C" w:rsidP="008D166C">
      <w:pPr>
        <w:rPr>
          <w:rFonts w:ascii="Times New Roman" w:hAnsi="Times New Roman" w:cs="Times New Roman"/>
        </w:rPr>
      </w:pPr>
    </w:p>
    <w:p w:rsidR="008D166C" w:rsidRDefault="008D166C" w:rsidP="008D166C">
      <w:pPr>
        <w:rPr>
          <w:rFonts w:ascii="Times New Roman" w:hAnsi="Times New Roman" w:cs="Times New Roman"/>
        </w:rPr>
      </w:pPr>
    </w:p>
    <w:p w:rsidR="008D166C" w:rsidRDefault="008D166C" w:rsidP="008D166C">
      <w:pPr>
        <w:rPr>
          <w:rFonts w:ascii="Times New Roman" w:hAnsi="Times New Roman" w:cs="Times New Roman"/>
        </w:rPr>
      </w:pPr>
    </w:p>
    <w:p w:rsidR="008D166C" w:rsidRDefault="008D166C" w:rsidP="008D166C">
      <w:pPr>
        <w:rPr>
          <w:rFonts w:ascii="Times New Roman" w:hAnsi="Times New Roman" w:cs="Times New Roman"/>
        </w:rPr>
      </w:pPr>
    </w:p>
    <w:p w:rsidR="008D166C" w:rsidRDefault="008D166C" w:rsidP="008D166C">
      <w:pPr>
        <w:rPr>
          <w:rFonts w:ascii="Times New Roman" w:hAnsi="Times New Roman" w:cs="Times New Roman"/>
        </w:rPr>
      </w:pPr>
    </w:p>
    <w:p w:rsidR="008D166C" w:rsidRDefault="008D166C">
      <w:pPr>
        <w:rPr>
          <w:b/>
          <w:u w:val="single"/>
        </w:rPr>
      </w:pPr>
      <w:r w:rsidRPr="008D166C">
        <w:rPr>
          <w:b/>
          <w:u w:val="single"/>
        </w:rPr>
        <w:lastRenderedPageBreak/>
        <w:t>Country Portfolio 3</w:t>
      </w:r>
    </w:p>
    <w:p w:rsidR="008D166C" w:rsidRDefault="008D166C"/>
    <w:p w:rsidR="008D166C" w:rsidRDefault="008D166C" w:rsidP="008D166C">
      <w:pPr>
        <w:spacing w:line="480" w:lineRule="auto"/>
        <w:jc w:val="center"/>
        <w:rPr>
          <w:rFonts w:ascii="Times New Roman" w:hAnsi="Times New Roman" w:cs="Times New Roman"/>
        </w:rPr>
      </w:pPr>
      <w:r>
        <w:rPr>
          <w:rFonts w:ascii="Times New Roman" w:hAnsi="Times New Roman" w:cs="Times New Roman"/>
        </w:rPr>
        <w:t>Health Issues in Spain</w:t>
      </w:r>
    </w:p>
    <w:p w:rsidR="008D166C" w:rsidRPr="00B75E33" w:rsidRDefault="008D166C" w:rsidP="008D166C">
      <w:pPr>
        <w:spacing w:line="480" w:lineRule="auto"/>
        <w:ind w:firstLine="567"/>
        <w:jc w:val="both"/>
        <w:rPr>
          <w:rFonts w:ascii="Times New Roman" w:hAnsi="Times New Roman" w:cs="Times New Roman"/>
        </w:rPr>
      </w:pPr>
      <w:r w:rsidRPr="00B75E33">
        <w:rPr>
          <w:rFonts w:ascii="Times New Roman" w:hAnsi="Times New Roman" w:cs="Times New Roman"/>
        </w:rPr>
        <w:t>Spain is the vastest country in southern Europe and is categorized as a moderately developed country, with a long-life expectancy and low infant mortality rate. It possesses diverse sociodemographic and health features. The research indicates that nutritional habits are fluctuating quickly with upsetting rates of lifestyle diseases despite the efforts of the health department to create public awareness. Sadly, the majority are living with chronic diseases that are not curable, which eventually leads to a high mortality rate. Thus, specific focus is required from healthcare providers as well as policymakers to establish health advancement and health education programs (</w:t>
      </w:r>
      <w:r w:rsidRPr="00B75E33">
        <w:rPr>
          <w:rFonts w:ascii="Times New Roman" w:hAnsi="Times New Roman" w:cs="Times New Roman"/>
          <w:color w:val="222222"/>
          <w:shd w:val="clear" w:color="auto" w:fill="FFFFFF"/>
        </w:rPr>
        <w:t>Holland, Mossialos &amp; Merkel, 2018)</w:t>
      </w:r>
      <w:r w:rsidRPr="00B75E33">
        <w:rPr>
          <w:rFonts w:ascii="Times New Roman" w:hAnsi="Times New Roman" w:cs="Times New Roman"/>
        </w:rPr>
        <w:t>. Normally, the effect of disease and injuries on population well-being is generally evaluated with measures of death and harmless health results. These assessments are utilized to indicate significant public fitness issues, permit assessment among distinguished people and diverse health situations while assessing transformation over time. Therefore, a comprehensive effort is needed to assess global population health in order to bridge the existing health gaps.</w:t>
      </w:r>
    </w:p>
    <w:p w:rsidR="008D166C" w:rsidRPr="00396CB6" w:rsidRDefault="008D166C" w:rsidP="008D166C">
      <w:pPr>
        <w:spacing w:line="480" w:lineRule="auto"/>
        <w:jc w:val="center"/>
        <w:rPr>
          <w:rFonts w:ascii="Times New Roman" w:hAnsi="Times New Roman" w:cs="Times New Roman"/>
          <w:b/>
        </w:rPr>
      </w:pPr>
      <w:r w:rsidRPr="00396CB6">
        <w:rPr>
          <w:rFonts w:ascii="Times New Roman" w:hAnsi="Times New Roman" w:cs="Times New Roman"/>
          <w:b/>
          <w:color w:val="1D1D1D"/>
          <w:shd w:val="clear" w:color="auto" w:fill="FFFFFF"/>
        </w:rPr>
        <w:t>Burden of Disease and Priority Health Issues in Spain.</w:t>
      </w:r>
    </w:p>
    <w:p w:rsidR="008D166C" w:rsidRPr="00B75E33" w:rsidRDefault="008D166C" w:rsidP="008D166C">
      <w:pPr>
        <w:spacing w:line="480" w:lineRule="auto"/>
        <w:ind w:firstLine="720"/>
        <w:jc w:val="both"/>
        <w:rPr>
          <w:rFonts w:ascii="Times New Roman" w:hAnsi="Times New Roman" w:cs="Times New Roman"/>
        </w:rPr>
      </w:pPr>
      <w:r w:rsidRPr="00B75E33">
        <w:rPr>
          <w:rFonts w:ascii="Times New Roman" w:hAnsi="Times New Roman" w:cs="Times New Roman"/>
        </w:rPr>
        <w:t>According to the World Health Organization, Spain is the seventh best in the world with top healthcare arrangement and a universal healthcare system. However, the global burden of disease project reveals that Spain has reported trends in death and morbidity across its population</w:t>
      </w:r>
      <w:r>
        <w:rPr>
          <w:rFonts w:ascii="Times New Roman" w:hAnsi="Times New Roman" w:cs="Times New Roman"/>
        </w:rPr>
        <w:t xml:space="preserve"> (</w:t>
      </w:r>
      <w:r w:rsidRPr="00001271">
        <w:rPr>
          <w:rFonts w:ascii="Times New Roman" w:hAnsi="Times New Roman" w:cs="Times New Roman"/>
          <w:color w:val="222222"/>
          <w:shd w:val="clear" w:color="auto" w:fill="FFFFFF"/>
        </w:rPr>
        <w:t>González</w:t>
      </w:r>
      <w:r>
        <w:rPr>
          <w:rFonts w:ascii="Times New Roman" w:hAnsi="Times New Roman" w:cs="Times New Roman"/>
          <w:color w:val="222222"/>
          <w:shd w:val="clear" w:color="auto" w:fill="FFFFFF"/>
        </w:rPr>
        <w:t xml:space="preserve"> et al., 2016)</w:t>
      </w:r>
      <w:r w:rsidRPr="00B75E33">
        <w:rPr>
          <w:rFonts w:ascii="Times New Roman" w:hAnsi="Times New Roman" w:cs="Times New Roman"/>
        </w:rPr>
        <w:t>. Up to date, Spain does not have a nationwide burden of disease initiative but on the other hand, there exist other sources of information that offer similar data. About morbidity, Spain's ministry of health expansively analyses health indicators after every five years through the national health interview survey of Spain (</w:t>
      </w:r>
      <w:r w:rsidRPr="00B75E33">
        <w:rPr>
          <w:rFonts w:ascii="Times New Roman" w:hAnsi="Times New Roman" w:cs="Times New Roman"/>
          <w:color w:val="222222"/>
          <w:shd w:val="clear" w:color="auto" w:fill="FFFFFF"/>
        </w:rPr>
        <w:t xml:space="preserve">Vos, Abajobir, Abate, Abbafati, Abbas, </w:t>
      </w:r>
      <w:r w:rsidRPr="00B75E33">
        <w:rPr>
          <w:rFonts w:ascii="Times New Roman" w:hAnsi="Times New Roman" w:cs="Times New Roman"/>
          <w:color w:val="222222"/>
          <w:shd w:val="clear" w:color="auto" w:fill="FFFFFF"/>
        </w:rPr>
        <w:lastRenderedPageBreak/>
        <w:t>Abd-Allah &amp; Aboyans, 2017)</w:t>
      </w:r>
      <w:r w:rsidRPr="00B75E33">
        <w:rPr>
          <w:rFonts w:ascii="Times New Roman" w:hAnsi="Times New Roman" w:cs="Times New Roman"/>
        </w:rPr>
        <w:t>. The recent report gathered health information comparative to the population resident in the country through conducting households' representative sampling. Also, several independent communities produce complete regional reports. Unfortunately, none of the above data intensively covers all health conditions. Furthermore, the valuation of attributable risk aspects is a vital component of public health policies</w:t>
      </w:r>
      <w:r>
        <w:rPr>
          <w:rFonts w:ascii="Times New Roman" w:hAnsi="Times New Roman" w:cs="Times New Roman"/>
        </w:rPr>
        <w:t xml:space="preserve"> (</w:t>
      </w:r>
      <w:r w:rsidRPr="00001271">
        <w:rPr>
          <w:rFonts w:ascii="Times New Roman" w:hAnsi="Times New Roman" w:cs="Times New Roman"/>
          <w:color w:val="222222"/>
          <w:shd w:val="clear" w:color="auto" w:fill="FFFFFF"/>
        </w:rPr>
        <w:t>Haro</w:t>
      </w:r>
      <w:r>
        <w:rPr>
          <w:rFonts w:ascii="Times New Roman" w:hAnsi="Times New Roman" w:cs="Times New Roman"/>
          <w:color w:val="222222"/>
          <w:shd w:val="clear" w:color="auto" w:fill="FFFFFF"/>
        </w:rPr>
        <w:t>et al., 2014)</w:t>
      </w:r>
      <w:r w:rsidRPr="00B75E33">
        <w:rPr>
          <w:rFonts w:ascii="Times New Roman" w:hAnsi="Times New Roman" w:cs="Times New Roman"/>
        </w:rPr>
        <w:t xml:space="preserve">. It has been found that the information is scarce and partial concerning risk issues in Spain since it is only available for some periods and regions. Also, the present information systems in the country do not offer efficient comparative risk valuation of the main health contributing factors, which happens to be a significant limitation. </w:t>
      </w:r>
    </w:p>
    <w:p w:rsidR="008D166C" w:rsidRPr="00B75E33" w:rsidRDefault="008D166C" w:rsidP="008D166C">
      <w:pPr>
        <w:spacing w:line="480" w:lineRule="auto"/>
        <w:ind w:firstLine="720"/>
        <w:jc w:val="both"/>
        <w:rPr>
          <w:rFonts w:ascii="Times New Roman" w:hAnsi="Times New Roman" w:cs="Times New Roman"/>
        </w:rPr>
      </w:pPr>
      <w:r w:rsidRPr="00B75E33">
        <w:rPr>
          <w:rFonts w:ascii="Times New Roman" w:hAnsi="Times New Roman" w:cs="Times New Roman"/>
        </w:rPr>
        <w:t>According to the global burden of disease report, Spain has several priority health issues that highly claim the lives of its citizens. The study revealed that morbidity and disability are progressively triggered by non-communicable diseases (</w:t>
      </w:r>
      <w:r w:rsidRPr="00B75E33">
        <w:rPr>
          <w:rFonts w:ascii="Times New Roman" w:hAnsi="Times New Roman" w:cs="Times New Roman"/>
          <w:color w:val="222222"/>
          <w:shd w:val="clear" w:color="auto" w:fill="FFFFFF"/>
        </w:rPr>
        <w:t>Case &amp; Deaton, 2017)</w:t>
      </w:r>
      <w:r w:rsidRPr="00B75E33">
        <w:rPr>
          <w:rFonts w:ascii="Times New Roman" w:hAnsi="Times New Roman" w:cs="Times New Roman"/>
        </w:rPr>
        <w:t xml:space="preserve">. One of the leading health issues is cardiovascular disease, which has contributed to 33% of deaths in Spain. The risking factors of this disease are obesity, smoking, and diabetes, high levels of cholesterol, high blood pressure and lack of exercise. Secondly, Neoplasms has been declared a life-threatening disease, which causes various types of cancers. However, it is estimated that it can be prevented through improved lifestyle choices. Chronic respiratory diseases are also common in Spain and they include asthma, lung cancer, and prolonged obstructive pulmonary disease. Too, mental and behavioural disorders have been reported frequently and they cause serious turnovers in the country. In addition, quite a number of the population lives with Alzheimer's disease, which is as a result of genetics, age, traumatic brain injury, and cognitive impairment. Due to the increased spread of the above deadly diseases, Spain is committed to improving health education as a means of reducing, as well as preventing unnecessary illness and deaths. </w:t>
      </w:r>
    </w:p>
    <w:p w:rsidR="008D166C" w:rsidRPr="00396CB6" w:rsidRDefault="008D166C" w:rsidP="008D166C">
      <w:pPr>
        <w:spacing w:line="480" w:lineRule="auto"/>
        <w:jc w:val="center"/>
        <w:rPr>
          <w:rFonts w:ascii="Times New Roman" w:hAnsi="Times New Roman" w:cs="Times New Roman"/>
          <w:b/>
        </w:rPr>
      </w:pPr>
      <w:r w:rsidRPr="00396CB6">
        <w:rPr>
          <w:rFonts w:ascii="Times New Roman" w:hAnsi="Times New Roman" w:cs="Times New Roman"/>
          <w:b/>
          <w:color w:val="1D1D1D"/>
          <w:shd w:val="clear" w:color="auto" w:fill="FFFFFF"/>
        </w:rPr>
        <w:lastRenderedPageBreak/>
        <w:t>Current Public Health Strategies and Interventions in Spain</w:t>
      </w:r>
    </w:p>
    <w:p w:rsidR="008D166C" w:rsidRPr="00B75E33" w:rsidRDefault="008D166C" w:rsidP="008D166C">
      <w:pPr>
        <w:spacing w:line="480" w:lineRule="auto"/>
        <w:ind w:firstLine="720"/>
        <w:jc w:val="both"/>
        <w:rPr>
          <w:rFonts w:ascii="Times New Roman" w:hAnsi="Times New Roman" w:cs="Times New Roman"/>
        </w:rPr>
      </w:pPr>
      <w:r w:rsidRPr="00B75E33">
        <w:rPr>
          <w:rFonts w:ascii="Times New Roman" w:hAnsi="Times New Roman" w:cs="Times New Roman"/>
        </w:rPr>
        <w:t xml:space="preserve">The public health strategies and interventions are health promotions, which entails planned actions aimed to improve regulation of health and its contributing factors within people.  In Spain, these strategies are motivated commonly by open health amenities within independent communities. Unfortunately, the general evaluation in Spain is rarely essential to execution of an action and therefore, the open health confirmation sector remains vulnerable. However, various initiatives have been put in place to improve the health status of the country. For instance, promotion of the system of community activities by the line-up of community activities primary care allows access to various interventions, which lays a foundation for the public participation. In the recent past, the department of health, public services, and fairness sector pushed a plea for registration of the events that formed the portion of the expansion of instructions, targeting to endorse domestic execution of the plan for health elevation. This initiative has been proved to contribute to the improvement of health promotions in Spain. </w:t>
      </w:r>
    </w:p>
    <w:p w:rsidR="008D166C" w:rsidRPr="00B75E33" w:rsidRDefault="008D166C" w:rsidP="008D166C">
      <w:pPr>
        <w:spacing w:line="480" w:lineRule="auto"/>
        <w:ind w:firstLine="567"/>
        <w:jc w:val="both"/>
        <w:rPr>
          <w:rFonts w:ascii="Times New Roman" w:hAnsi="Times New Roman" w:cs="Times New Roman"/>
        </w:rPr>
      </w:pPr>
      <w:r w:rsidRPr="00B75E33">
        <w:rPr>
          <w:rFonts w:ascii="Times New Roman" w:hAnsi="Times New Roman" w:cs="Times New Roman"/>
        </w:rPr>
        <w:t>In addition, Spain has embraced other strategies such as the formulation of policies, which are intended to promote health in all sectors (</w:t>
      </w:r>
      <w:r w:rsidRPr="00B75E33">
        <w:rPr>
          <w:rFonts w:ascii="Times New Roman" w:hAnsi="Times New Roman" w:cs="Times New Roman"/>
          <w:color w:val="222222"/>
          <w:shd w:val="clear" w:color="auto" w:fill="FFFFFF"/>
        </w:rPr>
        <w:t>Haramati, Cotton, Padmore, Wald &amp; Weissinger, 2017)</w:t>
      </w:r>
      <w:r w:rsidRPr="00B75E33">
        <w:rPr>
          <w:rFonts w:ascii="Times New Roman" w:hAnsi="Times New Roman" w:cs="Times New Roman"/>
        </w:rPr>
        <w:t>. Also, they have advocated for the creation of favourable environments for health as well as supporting community actions. Also, the ministry of health has displayed intervention through developing skills and reorienting health services to ensure equality in health care is tremendously achieved. Correspondingly, various strategies such as long-standing network have been enforced to help in collecting information relating to the health status among people. Despite the fact that Spain has not yet attained the required standards of promoting health, they have a room for improvement through setting up an institution for undertaking research on the global burden of disease.</w:t>
      </w:r>
    </w:p>
    <w:p w:rsidR="008D166C" w:rsidRPr="00396CB6" w:rsidRDefault="008D166C" w:rsidP="008D166C">
      <w:pPr>
        <w:spacing w:line="480" w:lineRule="auto"/>
        <w:jc w:val="center"/>
        <w:rPr>
          <w:rFonts w:ascii="Times New Roman" w:hAnsi="Times New Roman" w:cs="Times New Roman"/>
          <w:b/>
        </w:rPr>
      </w:pPr>
      <w:r w:rsidRPr="00396CB6">
        <w:rPr>
          <w:rFonts w:ascii="Times New Roman" w:hAnsi="Times New Roman" w:cs="Times New Roman"/>
          <w:b/>
          <w:color w:val="1D1D1D"/>
          <w:shd w:val="clear" w:color="auto" w:fill="FFFFFF"/>
        </w:rPr>
        <w:lastRenderedPageBreak/>
        <w:t>Collaboration Efforts to Address Burden of Disease in Spain</w:t>
      </w:r>
    </w:p>
    <w:p w:rsidR="008D166C" w:rsidRPr="00B75E33" w:rsidRDefault="008D166C" w:rsidP="008D166C">
      <w:pPr>
        <w:spacing w:line="480" w:lineRule="auto"/>
        <w:ind w:firstLine="567"/>
        <w:jc w:val="both"/>
        <w:rPr>
          <w:rFonts w:ascii="Times New Roman" w:hAnsi="Times New Roman" w:cs="Times New Roman"/>
        </w:rPr>
      </w:pPr>
      <w:r w:rsidRPr="00B75E33">
        <w:rPr>
          <w:rFonts w:ascii="Times New Roman" w:hAnsi="Times New Roman" w:cs="Times New Roman"/>
        </w:rPr>
        <w:t>A well-designed collaboration effort to address the burden of disease have massive potential to alleviate population health. Also, a forum that encourages collaboration efforts aims to establish specific interventions to transform prevailing health systems, so as to manage the entire problem. In Spain, the formation of a community health system innovation works closely with the ministry of health to address the double burden of disease placed on health systems and communities within the country</w:t>
      </w:r>
      <w:r>
        <w:rPr>
          <w:rFonts w:ascii="Times New Roman" w:hAnsi="Times New Roman" w:cs="Times New Roman"/>
        </w:rPr>
        <w:t xml:space="preserve"> (</w:t>
      </w:r>
      <w:r w:rsidRPr="00AF0C75">
        <w:rPr>
          <w:rFonts w:ascii="Times New Roman" w:hAnsi="Times New Roman" w:cs="Times New Roman"/>
          <w:color w:val="222222"/>
          <w:shd w:val="clear" w:color="auto" w:fill="FFFFFF"/>
        </w:rPr>
        <w:t>Sørensen</w:t>
      </w:r>
      <w:r>
        <w:rPr>
          <w:rFonts w:ascii="Times New Roman" w:hAnsi="Times New Roman" w:cs="Times New Roman"/>
          <w:color w:val="222222"/>
          <w:shd w:val="clear" w:color="auto" w:fill="FFFFFF"/>
        </w:rPr>
        <w:t xml:space="preserve"> et al., 2015)</w:t>
      </w:r>
      <w:r w:rsidRPr="00B75E33">
        <w:rPr>
          <w:rFonts w:ascii="Times New Roman" w:hAnsi="Times New Roman" w:cs="Times New Roman"/>
        </w:rPr>
        <w:t xml:space="preserve">. This body plans to address the challenge through effective research that provides the appropriate interventions. Further, the global burden of diseases has portrayed tireless efforts in assessing mortality and disability ranging from diseases, injuries, and risk factors. This program aims at providing lasting solutions to the leading health issues in Spain. Lastly, the world health organization in collaboration with the global burden of disease have contributed exceptionally by providing regional estimates of population's mortality rates, births as well as specific diseases. </w:t>
      </w:r>
    </w:p>
    <w:p w:rsidR="008D166C" w:rsidRPr="00B75E33" w:rsidRDefault="008D166C" w:rsidP="008D166C">
      <w:pPr>
        <w:spacing w:line="480" w:lineRule="auto"/>
        <w:ind w:firstLine="567"/>
        <w:jc w:val="both"/>
        <w:rPr>
          <w:rFonts w:ascii="Times New Roman" w:hAnsi="Times New Roman" w:cs="Times New Roman"/>
        </w:rPr>
      </w:pPr>
      <w:r w:rsidRPr="00B75E33">
        <w:rPr>
          <w:rFonts w:ascii="Times New Roman" w:hAnsi="Times New Roman" w:cs="Times New Roman"/>
        </w:rPr>
        <w:t>In conclusion, mortality and disability in Spain have been connected to non-communicable diseases, which leads to adverse impacts on population health. Therefore, specific attention is required from health care providers as well as policymakers to come up with health promotion and education plans focussed towards non-communicable diseases. Also, Spain is expected to strongly implement framed health strategies so as to overcome the huge health issues existing within the population.</w:t>
      </w:r>
    </w:p>
    <w:p w:rsidR="008D166C" w:rsidRPr="00B75E33" w:rsidRDefault="008D166C" w:rsidP="008D166C">
      <w:pPr>
        <w:spacing w:line="480" w:lineRule="auto"/>
        <w:rPr>
          <w:rFonts w:ascii="Times New Roman" w:hAnsi="Times New Roman" w:cs="Times New Roman"/>
        </w:rPr>
      </w:pPr>
    </w:p>
    <w:p w:rsidR="008D166C" w:rsidRPr="00B75E33" w:rsidRDefault="008D166C" w:rsidP="008D166C">
      <w:pPr>
        <w:spacing w:line="480" w:lineRule="auto"/>
        <w:rPr>
          <w:rFonts w:ascii="Times New Roman" w:hAnsi="Times New Roman" w:cs="Times New Roman"/>
        </w:rPr>
      </w:pPr>
    </w:p>
    <w:p w:rsidR="008D166C" w:rsidRPr="00B75E33" w:rsidRDefault="008D166C" w:rsidP="008D166C">
      <w:pPr>
        <w:spacing w:line="480" w:lineRule="auto"/>
        <w:rPr>
          <w:rFonts w:ascii="Times New Roman" w:hAnsi="Times New Roman" w:cs="Times New Roman"/>
        </w:rPr>
      </w:pPr>
    </w:p>
    <w:p w:rsidR="008D166C" w:rsidRPr="00B75E33" w:rsidRDefault="008D166C" w:rsidP="008D166C">
      <w:pPr>
        <w:spacing w:line="480" w:lineRule="auto"/>
        <w:rPr>
          <w:rFonts w:ascii="Times New Roman" w:hAnsi="Times New Roman" w:cs="Times New Roman"/>
        </w:rPr>
      </w:pPr>
    </w:p>
    <w:p w:rsidR="008D166C" w:rsidRDefault="008D166C" w:rsidP="008D166C">
      <w:pPr>
        <w:rPr>
          <w:rFonts w:ascii="Times New Roman" w:hAnsi="Times New Roman" w:cs="Times New Roman"/>
        </w:rPr>
      </w:pPr>
      <w:r>
        <w:rPr>
          <w:rFonts w:ascii="Times New Roman" w:hAnsi="Times New Roman" w:cs="Times New Roman"/>
        </w:rPr>
        <w:lastRenderedPageBreak/>
        <w:br w:type="page"/>
      </w:r>
    </w:p>
    <w:p w:rsidR="008D166C" w:rsidRPr="00B75E33" w:rsidRDefault="008D166C" w:rsidP="008D166C">
      <w:pPr>
        <w:spacing w:line="480" w:lineRule="auto"/>
        <w:jc w:val="center"/>
        <w:rPr>
          <w:rFonts w:ascii="Times New Roman" w:hAnsi="Times New Roman" w:cs="Times New Roman"/>
        </w:rPr>
      </w:pPr>
      <w:r w:rsidRPr="00B75E33">
        <w:rPr>
          <w:rFonts w:ascii="Times New Roman" w:hAnsi="Times New Roman" w:cs="Times New Roman"/>
        </w:rPr>
        <w:lastRenderedPageBreak/>
        <w:t>References</w:t>
      </w:r>
    </w:p>
    <w:p w:rsidR="008D166C" w:rsidRDefault="008D166C" w:rsidP="008D166C">
      <w:pPr>
        <w:spacing w:line="480" w:lineRule="auto"/>
        <w:ind w:left="720" w:hanging="720"/>
        <w:rPr>
          <w:rFonts w:ascii="Times New Roman" w:hAnsi="Times New Roman" w:cs="Times New Roman"/>
          <w:color w:val="222222"/>
          <w:shd w:val="clear" w:color="auto" w:fill="FFFFFF"/>
        </w:rPr>
      </w:pPr>
      <w:r w:rsidRPr="00B75E33">
        <w:rPr>
          <w:rFonts w:ascii="Times New Roman" w:hAnsi="Times New Roman" w:cs="Times New Roman"/>
          <w:color w:val="222222"/>
          <w:shd w:val="clear" w:color="auto" w:fill="FFFFFF"/>
        </w:rPr>
        <w:t>Case, A., &amp; Deaton, A. (2017). Mortality and morbidity in the 21st century. </w:t>
      </w:r>
      <w:r w:rsidRPr="00B75E33">
        <w:rPr>
          <w:rFonts w:ascii="Times New Roman" w:hAnsi="Times New Roman" w:cs="Times New Roman"/>
          <w:i/>
          <w:iCs/>
          <w:color w:val="222222"/>
          <w:shd w:val="clear" w:color="auto" w:fill="FFFFFF"/>
        </w:rPr>
        <w:t>Brookings papers on economic activity</w:t>
      </w:r>
      <w:r w:rsidRPr="00B75E33">
        <w:rPr>
          <w:rFonts w:ascii="Times New Roman" w:hAnsi="Times New Roman" w:cs="Times New Roman"/>
          <w:color w:val="222222"/>
          <w:shd w:val="clear" w:color="auto" w:fill="FFFFFF"/>
        </w:rPr>
        <w:t>, </w:t>
      </w:r>
      <w:r w:rsidRPr="00B75E33">
        <w:rPr>
          <w:rFonts w:ascii="Times New Roman" w:hAnsi="Times New Roman" w:cs="Times New Roman"/>
          <w:i/>
          <w:iCs/>
          <w:color w:val="222222"/>
          <w:shd w:val="clear" w:color="auto" w:fill="FFFFFF"/>
        </w:rPr>
        <w:t>2017</w:t>
      </w:r>
      <w:r w:rsidRPr="00B75E33">
        <w:rPr>
          <w:rFonts w:ascii="Times New Roman" w:hAnsi="Times New Roman" w:cs="Times New Roman"/>
          <w:color w:val="222222"/>
          <w:shd w:val="clear" w:color="auto" w:fill="FFFFFF"/>
        </w:rPr>
        <w:t>, 397.</w:t>
      </w:r>
      <w:r>
        <w:rPr>
          <w:rFonts w:ascii="Times New Roman" w:hAnsi="Times New Roman" w:cs="Times New Roman"/>
          <w:color w:val="222222"/>
          <w:shd w:val="clear" w:color="auto" w:fill="FFFFFF"/>
        </w:rPr>
        <w:t xml:space="preserve"> Retrieved from </w:t>
      </w:r>
      <w:hyperlink r:id="rId7" w:history="1">
        <w:r w:rsidRPr="00EA77D2">
          <w:rPr>
            <w:rStyle w:val="Hyperlink"/>
            <w:rFonts w:ascii="Times New Roman" w:hAnsi="Times New Roman" w:cs="Times New Roman"/>
            <w:shd w:val="clear" w:color="auto" w:fill="FFFFFF"/>
          </w:rPr>
          <w:t>https://www.ncbi.nlm.nih.gov/pmc/articles/PMC5640267/</w:t>
        </w:r>
      </w:hyperlink>
    </w:p>
    <w:p w:rsidR="008D166C" w:rsidRPr="00001271" w:rsidRDefault="008D166C" w:rsidP="008D166C">
      <w:pPr>
        <w:spacing w:line="480" w:lineRule="auto"/>
        <w:ind w:left="720" w:hanging="720"/>
        <w:rPr>
          <w:rFonts w:ascii="Times New Roman" w:hAnsi="Times New Roman" w:cs="Times New Roman"/>
          <w:color w:val="222222"/>
          <w:shd w:val="clear" w:color="auto" w:fill="FFFFFF"/>
        </w:rPr>
      </w:pPr>
      <w:r w:rsidRPr="00001271">
        <w:rPr>
          <w:rFonts w:ascii="Times New Roman" w:hAnsi="Times New Roman" w:cs="Times New Roman"/>
          <w:color w:val="222222"/>
          <w:shd w:val="clear" w:color="auto" w:fill="FFFFFF"/>
        </w:rPr>
        <w:t>González, J. M., Bello, J. M., Rodríguez, M., Navarro, T., Lacasta, D., Fernández, A., &amp; De las Heras, M. (2016). Lamb feedlot production in Spain: Most relevant health issues. </w:t>
      </w:r>
      <w:r w:rsidRPr="00001271">
        <w:rPr>
          <w:rFonts w:ascii="Times New Roman" w:hAnsi="Times New Roman" w:cs="Times New Roman"/>
          <w:i/>
          <w:iCs/>
          <w:color w:val="222222"/>
          <w:shd w:val="clear" w:color="auto" w:fill="FFFFFF"/>
        </w:rPr>
        <w:t>Small Ruminant Research</w:t>
      </w:r>
      <w:r w:rsidRPr="00001271">
        <w:rPr>
          <w:rFonts w:ascii="Times New Roman" w:hAnsi="Times New Roman" w:cs="Times New Roman"/>
          <w:color w:val="222222"/>
          <w:shd w:val="clear" w:color="auto" w:fill="FFFFFF"/>
        </w:rPr>
        <w:t>, </w:t>
      </w:r>
      <w:r w:rsidRPr="00001271">
        <w:rPr>
          <w:rFonts w:ascii="Times New Roman" w:hAnsi="Times New Roman" w:cs="Times New Roman"/>
          <w:i/>
          <w:iCs/>
          <w:color w:val="222222"/>
          <w:shd w:val="clear" w:color="auto" w:fill="FFFFFF"/>
        </w:rPr>
        <w:t>142</w:t>
      </w:r>
      <w:r w:rsidRPr="00001271">
        <w:rPr>
          <w:rFonts w:ascii="Times New Roman" w:hAnsi="Times New Roman" w:cs="Times New Roman"/>
          <w:color w:val="222222"/>
          <w:shd w:val="clear" w:color="auto" w:fill="FFFFFF"/>
        </w:rPr>
        <w:t>, 83-87.</w:t>
      </w:r>
      <w:r>
        <w:rPr>
          <w:rFonts w:ascii="Times New Roman" w:hAnsi="Times New Roman" w:cs="Times New Roman"/>
          <w:color w:val="222222"/>
          <w:shd w:val="clear" w:color="auto" w:fill="FFFFFF"/>
        </w:rPr>
        <w:t xml:space="preserve"> Retrieved from </w:t>
      </w:r>
      <w:r w:rsidRPr="00001271">
        <w:rPr>
          <w:rFonts w:ascii="Times New Roman" w:hAnsi="Times New Roman" w:cs="Times New Roman"/>
          <w:color w:val="222222"/>
          <w:shd w:val="clear" w:color="auto" w:fill="FFFFFF"/>
        </w:rPr>
        <w:t>https://sci-hub.tw/https://www.sciencedirect.com/science/article/pii/S092144881630044X</w:t>
      </w:r>
    </w:p>
    <w:p w:rsidR="008D166C" w:rsidRDefault="008D166C" w:rsidP="008D166C">
      <w:pPr>
        <w:spacing w:line="480" w:lineRule="auto"/>
        <w:ind w:left="720" w:hanging="720"/>
        <w:rPr>
          <w:rFonts w:ascii="Times New Roman" w:hAnsi="Times New Roman" w:cs="Times New Roman"/>
          <w:color w:val="222222"/>
          <w:shd w:val="clear" w:color="auto" w:fill="FFFFFF"/>
        </w:rPr>
      </w:pPr>
      <w:r w:rsidRPr="00B75E33">
        <w:rPr>
          <w:rFonts w:ascii="Times New Roman" w:hAnsi="Times New Roman" w:cs="Times New Roman"/>
          <w:color w:val="222222"/>
          <w:shd w:val="clear" w:color="auto" w:fill="FFFFFF"/>
        </w:rPr>
        <w:t>Haramati, A., Cotton, S., Padmore, J. S., Wald, H. S., &amp; Weissinger, P. A. (2017). Strategies to promote resilience, empathy and well-being in the health professions: Insights from the 2015 CENTILE Conference. </w:t>
      </w:r>
      <w:r w:rsidRPr="00B75E33">
        <w:rPr>
          <w:rFonts w:ascii="Times New Roman" w:hAnsi="Times New Roman" w:cs="Times New Roman"/>
          <w:i/>
          <w:iCs/>
          <w:color w:val="222222"/>
          <w:shd w:val="clear" w:color="auto" w:fill="FFFFFF"/>
        </w:rPr>
        <w:t>Medical teacher</w:t>
      </w:r>
      <w:r w:rsidRPr="00B75E33">
        <w:rPr>
          <w:rFonts w:ascii="Times New Roman" w:hAnsi="Times New Roman" w:cs="Times New Roman"/>
          <w:color w:val="222222"/>
          <w:shd w:val="clear" w:color="auto" w:fill="FFFFFF"/>
        </w:rPr>
        <w:t>, </w:t>
      </w:r>
      <w:r w:rsidRPr="00B75E33">
        <w:rPr>
          <w:rFonts w:ascii="Times New Roman" w:hAnsi="Times New Roman" w:cs="Times New Roman"/>
          <w:i/>
          <w:iCs/>
          <w:color w:val="222222"/>
          <w:shd w:val="clear" w:color="auto" w:fill="FFFFFF"/>
        </w:rPr>
        <w:t>39</w:t>
      </w:r>
      <w:r w:rsidRPr="00B75E33">
        <w:rPr>
          <w:rFonts w:ascii="Times New Roman" w:hAnsi="Times New Roman" w:cs="Times New Roman"/>
          <w:color w:val="222222"/>
          <w:shd w:val="clear" w:color="auto" w:fill="FFFFFF"/>
        </w:rPr>
        <w:t>(2), 118-119.</w:t>
      </w:r>
      <w:r>
        <w:rPr>
          <w:rFonts w:ascii="Times New Roman" w:hAnsi="Times New Roman" w:cs="Times New Roman"/>
          <w:color w:val="222222"/>
          <w:shd w:val="clear" w:color="auto" w:fill="FFFFFF"/>
        </w:rPr>
        <w:t xml:space="preserve"> Retrieved from </w:t>
      </w:r>
      <w:hyperlink r:id="rId8" w:history="1">
        <w:r w:rsidRPr="00EA77D2">
          <w:rPr>
            <w:rStyle w:val="Hyperlink"/>
            <w:rFonts w:ascii="Times New Roman" w:hAnsi="Times New Roman" w:cs="Times New Roman"/>
            <w:shd w:val="clear" w:color="auto" w:fill="FFFFFF"/>
          </w:rPr>
          <w:t>https://www.tandfonline.com/doi/abs/10.1080/0142159X.2017.1279278</w:t>
        </w:r>
      </w:hyperlink>
    </w:p>
    <w:p w:rsidR="008D166C" w:rsidRPr="00001271" w:rsidRDefault="008D166C" w:rsidP="008D166C">
      <w:pPr>
        <w:spacing w:line="480" w:lineRule="auto"/>
        <w:ind w:left="720" w:hanging="720"/>
        <w:rPr>
          <w:rFonts w:ascii="Times New Roman" w:hAnsi="Times New Roman" w:cs="Times New Roman"/>
          <w:color w:val="222222"/>
          <w:shd w:val="clear" w:color="auto" w:fill="FFFFFF"/>
        </w:rPr>
      </w:pPr>
      <w:r w:rsidRPr="00001271">
        <w:rPr>
          <w:rFonts w:ascii="Times New Roman" w:hAnsi="Times New Roman" w:cs="Times New Roman"/>
          <w:color w:val="222222"/>
          <w:shd w:val="clear" w:color="auto" w:fill="FFFFFF"/>
        </w:rPr>
        <w:t>Haro, J. M., Tyrovolas, S., Garin, N., Diaz-Torne, C., Carmona, L., Sanchez-Riera, L., ... &amp; Murray, C. J. (2014). The burden of disease in Spain: results from the global burden of disease study 2010. </w:t>
      </w:r>
      <w:r w:rsidRPr="00001271">
        <w:rPr>
          <w:rFonts w:ascii="Times New Roman" w:hAnsi="Times New Roman" w:cs="Times New Roman"/>
          <w:i/>
          <w:iCs/>
          <w:color w:val="222222"/>
          <w:shd w:val="clear" w:color="auto" w:fill="FFFFFF"/>
        </w:rPr>
        <w:t>BMC medicine</w:t>
      </w:r>
      <w:r w:rsidRPr="00001271">
        <w:rPr>
          <w:rFonts w:ascii="Times New Roman" w:hAnsi="Times New Roman" w:cs="Times New Roman"/>
          <w:color w:val="222222"/>
          <w:shd w:val="clear" w:color="auto" w:fill="FFFFFF"/>
        </w:rPr>
        <w:t>, </w:t>
      </w:r>
      <w:r w:rsidRPr="00001271">
        <w:rPr>
          <w:rFonts w:ascii="Times New Roman" w:hAnsi="Times New Roman" w:cs="Times New Roman"/>
          <w:i/>
          <w:iCs/>
          <w:color w:val="222222"/>
          <w:shd w:val="clear" w:color="auto" w:fill="FFFFFF"/>
        </w:rPr>
        <w:t>12</w:t>
      </w:r>
      <w:r w:rsidRPr="00001271">
        <w:rPr>
          <w:rFonts w:ascii="Times New Roman" w:hAnsi="Times New Roman" w:cs="Times New Roman"/>
          <w:color w:val="222222"/>
          <w:shd w:val="clear" w:color="auto" w:fill="FFFFFF"/>
        </w:rPr>
        <w:t>(1), 236.</w:t>
      </w:r>
      <w:r>
        <w:rPr>
          <w:rFonts w:ascii="Times New Roman" w:hAnsi="Times New Roman" w:cs="Times New Roman"/>
          <w:color w:val="222222"/>
          <w:shd w:val="clear" w:color="auto" w:fill="FFFFFF"/>
        </w:rPr>
        <w:t xml:space="preserve"> Retrieved from </w:t>
      </w:r>
      <w:r w:rsidRPr="00001271">
        <w:rPr>
          <w:rFonts w:ascii="Times New Roman" w:hAnsi="Times New Roman" w:cs="Times New Roman"/>
          <w:color w:val="222222"/>
          <w:shd w:val="clear" w:color="auto" w:fill="FFFFFF"/>
        </w:rPr>
        <w:t>https://bmcmedicine.biomedcentral.com/articles/10.1186/s12916-014-0236-9</w:t>
      </w:r>
    </w:p>
    <w:p w:rsidR="008D166C" w:rsidRDefault="008D166C" w:rsidP="008D166C">
      <w:pPr>
        <w:spacing w:line="480" w:lineRule="auto"/>
        <w:ind w:left="720" w:hanging="720"/>
        <w:rPr>
          <w:rFonts w:ascii="Times New Roman" w:hAnsi="Times New Roman" w:cs="Times New Roman"/>
          <w:color w:val="222222"/>
          <w:shd w:val="clear" w:color="auto" w:fill="FFFFFF"/>
        </w:rPr>
      </w:pPr>
      <w:r w:rsidRPr="00B75E33">
        <w:rPr>
          <w:rFonts w:ascii="Times New Roman" w:hAnsi="Times New Roman" w:cs="Times New Roman"/>
          <w:color w:val="222222"/>
          <w:shd w:val="clear" w:color="auto" w:fill="FFFFFF"/>
        </w:rPr>
        <w:t>Holland, W., Mossialos, E., &amp; Merkel, B. (2018). </w:t>
      </w:r>
      <w:r w:rsidRPr="00B75E33">
        <w:rPr>
          <w:rFonts w:ascii="Times New Roman" w:hAnsi="Times New Roman" w:cs="Times New Roman"/>
          <w:i/>
          <w:iCs/>
          <w:color w:val="222222"/>
          <w:shd w:val="clear" w:color="auto" w:fill="FFFFFF"/>
        </w:rPr>
        <w:t>Public health policies in the European Union</w:t>
      </w:r>
      <w:r w:rsidRPr="00B75E33">
        <w:rPr>
          <w:rFonts w:ascii="Times New Roman" w:hAnsi="Times New Roman" w:cs="Times New Roman"/>
          <w:color w:val="222222"/>
          <w:shd w:val="clear" w:color="auto" w:fill="FFFFFF"/>
        </w:rPr>
        <w:t>. Routledge.</w:t>
      </w:r>
    </w:p>
    <w:p w:rsidR="008D166C" w:rsidRPr="00AF0C75" w:rsidRDefault="008D166C" w:rsidP="008D166C">
      <w:pPr>
        <w:spacing w:line="480" w:lineRule="auto"/>
        <w:ind w:left="720" w:hanging="720"/>
        <w:rPr>
          <w:rFonts w:ascii="Times New Roman" w:hAnsi="Times New Roman" w:cs="Times New Roman"/>
          <w:color w:val="222222"/>
          <w:shd w:val="clear" w:color="auto" w:fill="FFFFFF"/>
        </w:rPr>
      </w:pPr>
      <w:r w:rsidRPr="00AF0C75">
        <w:rPr>
          <w:rFonts w:ascii="Times New Roman" w:hAnsi="Times New Roman" w:cs="Times New Roman"/>
          <w:color w:val="222222"/>
          <w:shd w:val="clear" w:color="auto" w:fill="FFFFFF"/>
        </w:rPr>
        <w:t>Sørensen, K., Pelikan, J. M., Röthlin, F., Ganahl, K., Slonska, Z., Doyle, G., ... &amp; Falcon, M. (2015). Health literacy in Europe: comparative results of the European health literacy survey (HLS-EU). </w:t>
      </w:r>
      <w:r w:rsidRPr="00AF0C75">
        <w:rPr>
          <w:rFonts w:ascii="Times New Roman" w:hAnsi="Times New Roman" w:cs="Times New Roman"/>
          <w:i/>
          <w:iCs/>
          <w:color w:val="222222"/>
          <w:shd w:val="clear" w:color="auto" w:fill="FFFFFF"/>
        </w:rPr>
        <w:t>European journal of public health</w:t>
      </w:r>
      <w:r w:rsidRPr="00AF0C75">
        <w:rPr>
          <w:rFonts w:ascii="Times New Roman" w:hAnsi="Times New Roman" w:cs="Times New Roman"/>
          <w:color w:val="222222"/>
          <w:shd w:val="clear" w:color="auto" w:fill="FFFFFF"/>
        </w:rPr>
        <w:t>, </w:t>
      </w:r>
      <w:r w:rsidRPr="00AF0C75">
        <w:rPr>
          <w:rFonts w:ascii="Times New Roman" w:hAnsi="Times New Roman" w:cs="Times New Roman"/>
          <w:i/>
          <w:iCs/>
          <w:color w:val="222222"/>
          <w:shd w:val="clear" w:color="auto" w:fill="FFFFFF"/>
        </w:rPr>
        <w:t>25</w:t>
      </w:r>
      <w:r w:rsidRPr="00AF0C75">
        <w:rPr>
          <w:rFonts w:ascii="Times New Roman" w:hAnsi="Times New Roman" w:cs="Times New Roman"/>
          <w:color w:val="222222"/>
          <w:shd w:val="clear" w:color="auto" w:fill="FFFFFF"/>
        </w:rPr>
        <w:t>(6), 1053-1058.</w:t>
      </w:r>
      <w:r>
        <w:rPr>
          <w:rFonts w:ascii="Times New Roman" w:hAnsi="Times New Roman" w:cs="Times New Roman"/>
          <w:color w:val="222222"/>
          <w:shd w:val="clear" w:color="auto" w:fill="FFFFFF"/>
        </w:rPr>
        <w:t xml:space="preserve"> Retrieved from </w:t>
      </w:r>
      <w:r w:rsidRPr="00A56903">
        <w:rPr>
          <w:rFonts w:ascii="Times New Roman" w:hAnsi="Times New Roman" w:cs="Times New Roman"/>
          <w:color w:val="222222"/>
          <w:shd w:val="clear" w:color="auto" w:fill="FFFFFF"/>
        </w:rPr>
        <w:t>https://academic.oup.com/eurpub/article/25/6/1053/2467145</w:t>
      </w:r>
    </w:p>
    <w:p w:rsidR="008D166C" w:rsidRDefault="008D166C" w:rsidP="008D166C">
      <w:pPr>
        <w:spacing w:line="480" w:lineRule="auto"/>
        <w:ind w:left="720" w:hanging="720"/>
        <w:rPr>
          <w:rFonts w:ascii="Times New Roman" w:hAnsi="Times New Roman" w:cs="Times New Roman"/>
          <w:color w:val="222222"/>
          <w:shd w:val="clear" w:color="auto" w:fill="FFFFFF"/>
        </w:rPr>
      </w:pPr>
      <w:r w:rsidRPr="00B75E33">
        <w:rPr>
          <w:rFonts w:ascii="Times New Roman" w:hAnsi="Times New Roman" w:cs="Times New Roman"/>
          <w:color w:val="222222"/>
          <w:shd w:val="clear" w:color="auto" w:fill="FFFFFF"/>
        </w:rPr>
        <w:lastRenderedPageBreak/>
        <w:t>Vos, T., Abajobir, A. A., Abate, K. H., Abbafati, C., Abbas, K. M., Abd-Allah, F., ... &amp; Aboyans, V. (2017). Global, regional, and national incidence, prevalence, and years lived with disability for 328 diseases and injuries for 195 countries, 1990–2016: a systematic analysis for the Global Burden of Disease Study 2016. </w:t>
      </w:r>
      <w:r w:rsidRPr="00B75E33">
        <w:rPr>
          <w:rFonts w:ascii="Times New Roman" w:hAnsi="Times New Roman" w:cs="Times New Roman"/>
          <w:i/>
          <w:iCs/>
          <w:color w:val="222222"/>
          <w:shd w:val="clear" w:color="auto" w:fill="FFFFFF"/>
        </w:rPr>
        <w:t>The Lancet</w:t>
      </w:r>
      <w:r w:rsidRPr="00B75E33">
        <w:rPr>
          <w:rFonts w:ascii="Times New Roman" w:hAnsi="Times New Roman" w:cs="Times New Roman"/>
          <w:color w:val="222222"/>
          <w:shd w:val="clear" w:color="auto" w:fill="FFFFFF"/>
        </w:rPr>
        <w:t>, </w:t>
      </w:r>
      <w:r w:rsidRPr="00B75E33">
        <w:rPr>
          <w:rFonts w:ascii="Times New Roman" w:hAnsi="Times New Roman" w:cs="Times New Roman"/>
          <w:i/>
          <w:iCs/>
          <w:color w:val="222222"/>
          <w:shd w:val="clear" w:color="auto" w:fill="FFFFFF"/>
        </w:rPr>
        <w:t>390</w:t>
      </w:r>
      <w:r w:rsidRPr="00B75E33">
        <w:rPr>
          <w:rFonts w:ascii="Times New Roman" w:hAnsi="Times New Roman" w:cs="Times New Roman"/>
          <w:color w:val="222222"/>
          <w:shd w:val="clear" w:color="auto" w:fill="FFFFFF"/>
        </w:rPr>
        <w:t>(10100), 1211-1259.</w:t>
      </w:r>
    </w:p>
    <w:p w:rsidR="008D166C" w:rsidRDefault="008D166C" w:rsidP="008D166C">
      <w:pPr>
        <w:spacing w:line="480" w:lineRule="auto"/>
        <w:ind w:left="720" w:hanging="720"/>
        <w:rPr>
          <w:rFonts w:ascii="Times New Roman" w:hAnsi="Times New Roman" w:cs="Times New Roman"/>
          <w:color w:val="222222"/>
          <w:shd w:val="clear" w:color="auto" w:fill="FFFFFF"/>
        </w:rPr>
      </w:pPr>
    </w:p>
    <w:p w:rsidR="008D166C" w:rsidRPr="00B75E33" w:rsidRDefault="008D166C" w:rsidP="008D166C">
      <w:pPr>
        <w:spacing w:line="480" w:lineRule="auto"/>
        <w:ind w:left="720" w:hanging="720"/>
        <w:rPr>
          <w:rFonts w:ascii="Times New Roman" w:hAnsi="Times New Roman" w:cs="Times New Roman"/>
          <w:color w:val="222222"/>
          <w:shd w:val="clear" w:color="auto" w:fill="FFFFFF"/>
        </w:rPr>
      </w:pPr>
    </w:p>
    <w:p w:rsidR="008D166C" w:rsidRPr="00B75E33" w:rsidRDefault="008D166C" w:rsidP="008D166C">
      <w:pPr>
        <w:spacing w:line="480" w:lineRule="auto"/>
        <w:ind w:left="720" w:hanging="720"/>
        <w:rPr>
          <w:rFonts w:ascii="Times New Roman" w:hAnsi="Times New Roman" w:cs="Times New Roman"/>
        </w:rPr>
      </w:pPr>
    </w:p>
    <w:p w:rsidR="008D166C" w:rsidRPr="008D166C" w:rsidRDefault="008D166C">
      <w:bookmarkStart w:id="4" w:name="_GoBack"/>
      <w:bookmarkEnd w:id="4"/>
    </w:p>
    <w:sectPr w:rsidR="008D166C" w:rsidRPr="008D166C" w:rsidSect="000F6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w:panose1 w:val="00000000000000000000"/>
    <w:charset w:val="4D"/>
    <w:family w:val="auto"/>
    <w:pitch w:val="variable"/>
    <w:sig w:usb0="A00002FF" w:usb1="7800205A" w:usb2="146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66C"/>
    <w:rsid w:val="000F6CFE"/>
    <w:rsid w:val="006D5C40"/>
    <w:rsid w:val="008D1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22DCA9"/>
  <w14:defaultImageDpi w14:val="32767"/>
  <w15:chartTrackingRefBased/>
  <w15:docId w15:val="{331DC539-B50D-F243-BBCE-50BB52A6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8D166C"/>
    <w:pPr>
      <w:keepNext/>
      <w:keepLines/>
      <w:spacing w:line="480" w:lineRule="auto"/>
      <w:jc w:val="center"/>
      <w:outlineLvl w:val="0"/>
    </w:pPr>
    <w:rPr>
      <w:rFonts w:asciiTheme="majorHAnsi" w:eastAsiaTheme="majorEastAsia" w:hAnsiTheme="majorHAnsi" w:cstheme="majorBidi"/>
      <w:b/>
      <w:bCs/>
      <w:kern w:val="24"/>
      <w:lang w:eastAsia="ja-JP"/>
    </w:rPr>
  </w:style>
  <w:style w:type="paragraph" w:styleId="Heading2">
    <w:name w:val="heading 2"/>
    <w:basedOn w:val="Normal"/>
    <w:next w:val="Normal"/>
    <w:link w:val="Heading2Char"/>
    <w:uiPriority w:val="4"/>
    <w:unhideWhenUsed/>
    <w:qFormat/>
    <w:rsid w:val="008D166C"/>
    <w:pPr>
      <w:keepNext/>
      <w:keepLines/>
      <w:spacing w:line="480" w:lineRule="auto"/>
      <w:outlineLvl w:val="1"/>
    </w:pPr>
    <w:rPr>
      <w:rFonts w:asciiTheme="majorHAnsi" w:eastAsiaTheme="majorEastAsia" w:hAnsiTheme="majorHAnsi" w:cstheme="majorBidi"/>
      <w:b/>
      <w:bCs/>
      <w:kern w:val="24"/>
      <w:lang w:eastAsia="ja-JP"/>
    </w:rPr>
  </w:style>
  <w:style w:type="paragraph" w:styleId="Heading3">
    <w:name w:val="heading 3"/>
    <w:basedOn w:val="Normal"/>
    <w:next w:val="Normal"/>
    <w:link w:val="Heading3Char"/>
    <w:uiPriority w:val="4"/>
    <w:unhideWhenUsed/>
    <w:qFormat/>
    <w:rsid w:val="008D166C"/>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rsid w:val="008D166C"/>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rsid w:val="008D166C"/>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8D166C"/>
    <w:rPr>
      <w:rFonts w:asciiTheme="majorHAnsi" w:eastAsiaTheme="majorEastAsia" w:hAnsiTheme="majorHAnsi" w:cstheme="majorBidi"/>
      <w:b/>
      <w:bCs/>
      <w:kern w:val="24"/>
      <w:lang w:eastAsia="ja-JP"/>
    </w:rPr>
  </w:style>
  <w:style w:type="character" w:customStyle="1" w:styleId="Heading2Char">
    <w:name w:val="Heading 2 Char"/>
    <w:basedOn w:val="DefaultParagraphFont"/>
    <w:link w:val="Heading2"/>
    <w:uiPriority w:val="4"/>
    <w:rsid w:val="008D166C"/>
    <w:rPr>
      <w:rFonts w:asciiTheme="majorHAnsi" w:eastAsiaTheme="majorEastAsia" w:hAnsiTheme="majorHAnsi" w:cstheme="majorBidi"/>
      <w:b/>
      <w:bCs/>
      <w:kern w:val="24"/>
      <w:lang w:eastAsia="ja-JP"/>
    </w:rPr>
  </w:style>
  <w:style w:type="character" w:customStyle="1" w:styleId="Heading3Char">
    <w:name w:val="Heading 3 Char"/>
    <w:basedOn w:val="DefaultParagraphFont"/>
    <w:link w:val="Heading3"/>
    <w:uiPriority w:val="4"/>
    <w:rsid w:val="008D166C"/>
    <w:rPr>
      <w:rFonts w:asciiTheme="majorHAnsi" w:eastAsiaTheme="majorEastAsia" w:hAnsiTheme="majorHAnsi" w:cstheme="majorBidi"/>
      <w:b/>
      <w:bCs/>
      <w:kern w:val="24"/>
      <w:lang w:eastAsia="ja-JP"/>
    </w:rPr>
  </w:style>
  <w:style w:type="character" w:customStyle="1" w:styleId="Heading4Char">
    <w:name w:val="Heading 4 Char"/>
    <w:basedOn w:val="DefaultParagraphFont"/>
    <w:link w:val="Heading4"/>
    <w:uiPriority w:val="4"/>
    <w:rsid w:val="008D166C"/>
    <w:rPr>
      <w:rFonts w:asciiTheme="majorHAnsi" w:eastAsiaTheme="majorEastAsia" w:hAnsiTheme="majorHAnsi" w:cstheme="majorBidi"/>
      <w:b/>
      <w:bCs/>
      <w:i/>
      <w:iCs/>
      <w:kern w:val="24"/>
      <w:lang w:eastAsia="ja-JP"/>
    </w:rPr>
  </w:style>
  <w:style w:type="character" w:customStyle="1" w:styleId="Heading5Char">
    <w:name w:val="Heading 5 Char"/>
    <w:basedOn w:val="DefaultParagraphFont"/>
    <w:link w:val="Heading5"/>
    <w:uiPriority w:val="4"/>
    <w:rsid w:val="008D166C"/>
    <w:rPr>
      <w:rFonts w:asciiTheme="majorHAnsi" w:eastAsiaTheme="majorEastAsia" w:hAnsiTheme="majorHAnsi" w:cstheme="majorBidi"/>
      <w:i/>
      <w:iCs/>
      <w:kern w:val="24"/>
      <w:lang w:eastAsia="ja-JP"/>
    </w:rPr>
  </w:style>
  <w:style w:type="paragraph" w:styleId="Bibliography">
    <w:name w:val="Bibliography"/>
    <w:basedOn w:val="Normal"/>
    <w:next w:val="Normal"/>
    <w:uiPriority w:val="37"/>
    <w:semiHidden/>
    <w:unhideWhenUsed/>
    <w:rsid w:val="008D166C"/>
    <w:pPr>
      <w:spacing w:line="480" w:lineRule="auto"/>
      <w:ind w:firstLine="720"/>
    </w:pPr>
    <w:rPr>
      <w:rFonts w:eastAsiaTheme="minorEastAsia"/>
      <w:kern w:val="24"/>
      <w:lang w:eastAsia="ja-JP"/>
    </w:rPr>
  </w:style>
  <w:style w:type="paragraph" w:customStyle="1" w:styleId="SectionTitle">
    <w:name w:val="Section Title"/>
    <w:basedOn w:val="Normal"/>
    <w:next w:val="Normal"/>
    <w:uiPriority w:val="2"/>
    <w:qFormat/>
    <w:rsid w:val="008D166C"/>
    <w:pPr>
      <w:pageBreakBefore/>
      <w:spacing w:line="480" w:lineRule="auto"/>
      <w:jc w:val="center"/>
      <w:outlineLvl w:val="0"/>
    </w:pPr>
    <w:rPr>
      <w:rFonts w:asciiTheme="majorHAnsi" w:eastAsiaTheme="majorEastAsia" w:hAnsiTheme="majorHAnsi" w:cstheme="majorBidi"/>
      <w:kern w:val="24"/>
      <w:lang w:eastAsia="ja-JP"/>
    </w:rPr>
  </w:style>
  <w:style w:type="character" w:styleId="Hyperlink">
    <w:name w:val="Hyperlink"/>
    <w:basedOn w:val="DefaultParagraphFont"/>
    <w:uiPriority w:val="99"/>
    <w:unhideWhenUsed/>
    <w:rsid w:val="008D166C"/>
    <w:rPr>
      <w:color w:val="0563C1" w:themeColor="hyperlink"/>
      <w:u w:val="single"/>
    </w:rPr>
  </w:style>
  <w:style w:type="character" w:customStyle="1" w:styleId="apple-converted-space">
    <w:name w:val="apple-converted-space"/>
    <w:basedOn w:val="DefaultParagraphFont"/>
    <w:rsid w:val="008D1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0142159X.2017.1279278" TargetMode="External"/><Relationship Id="rId3" Type="http://schemas.openxmlformats.org/officeDocument/2006/relationships/settings" Target="settings.xml"/><Relationship Id="rId7" Type="http://schemas.openxmlformats.org/officeDocument/2006/relationships/hyperlink" Target="https://www.ncbi.nlm.nih.gov/pmc/articles/PMC564026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avert.org/about-us-hub" TargetMode="External"/><Relationship Id="rId11" Type="http://schemas.openxmlformats.org/officeDocument/2006/relationships/theme" Target="theme/theme1.xml"/><Relationship Id="rId5" Type="http://schemas.openxmlformats.org/officeDocument/2006/relationships/hyperlink" Target="http://apps.who.int/gho/data/node.country.countryESP?TSPD_101_R0=dbc51a3ae58b52c2f120b98caa0900epEr000000000000000296c72632ffff0000000000000000000000000005ba7d57100434b9a8a"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3224AC21247C438E999E4A3E386BFD"/>
        <w:category>
          <w:name w:val="General"/>
          <w:gallery w:val="placeholder"/>
        </w:category>
        <w:types>
          <w:type w:val="bbPlcHdr"/>
        </w:types>
        <w:behaviors>
          <w:behavior w:val="content"/>
        </w:behaviors>
        <w:guid w:val="{7D524021-D6F3-4845-A8B2-2A73D0537745}"/>
      </w:docPartPr>
      <w:docPartBody>
        <w:p w:rsidR="00000000" w:rsidRDefault="00307C35" w:rsidP="00307C35">
          <w:pPr>
            <w:pStyle w:val="A53224AC21247C438E999E4A3E386BFD"/>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w:panose1 w:val="00000000000000000000"/>
    <w:charset w:val="4D"/>
    <w:family w:val="auto"/>
    <w:pitch w:val="variable"/>
    <w:sig w:usb0="A00002FF" w:usb1="7800205A" w:usb2="14600000" w:usb3="00000000" w:csb0="000001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35"/>
    <w:rsid w:val="00307C35"/>
    <w:rsid w:val="00A6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3224AC21247C438E999E4A3E386BFD">
    <w:name w:val="A53224AC21247C438E999E4A3E386BFD"/>
    <w:rsid w:val="00307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Version="">
  <b:Source>
    <b:Tag>Lar14</b:Tag>
    <b:SourceType>JournalArticle</b:SourceType>
    <b:Guid>{584F7E05-5D18-4099-8627-938CC594C1ED}</b:Guid>
    <b:Author>
      <b:Author>
        <b:NameList>
          <b:Person>
            <b:Last>Lara</b:Last>
            <b:First>L.</b:First>
          </b:Person>
        </b:NameList>
      </b:Author>
    </b:Author>
    <b:Title>Issues regarding spanish psychiatric reforms</b:Title>
    <b:JournalName>Health System review</b:JournalName>
    <b:Year>2014</b:Year>
    <b:Pages>167-175</b:Pages>
    <b:RefOrder>1</b:RefOrder>
  </b:Source>
  <b:Source>
    <b:Tag>Gar11</b:Tag>
    <b:SourceType>JournalArticle</b:SourceType>
    <b:Guid>{6AA1CDA8-87EA-464C-8FAC-D39745D12942}</b:Guid>
    <b:Author>
      <b:Author>
        <b:NameList>
          <b:Person>
            <b:Last>Garcia</b:Last>
            <b:First>P.</b:First>
          </b:Person>
        </b:NameList>
      </b:Author>
    </b:Author>
    <b:Title>Public and private Health Insurance and the Utilization of Health Care in Spain.</b:Title>
    <b:Year>2011</b:Year>
    <b:JournalName>Research on Economic Equality</b:JournalName>
    <b:Pages>169-195</b:Pages>
    <b:RefOrder>2</b:RefOrder>
  </b:Source>
  <b:Source>
    <b:Tag>Luq09</b:Tag>
    <b:SourceType>JournalArticle</b:SourceType>
    <b:Guid>{16642F4C-3EF4-49A5-B265-0B9D7804C3B6}</b:Guid>
    <b:Author>
      <b:Author>
        <b:NameList>
          <b:Person>
            <b:Last>Luque</b:Last>
            <b:First>F.</b:First>
          </b:Person>
        </b:NameList>
      </b:Author>
    </b:Author>
    <b:Title>Increase in Maternal Mortality Associated with Change in the Reproductive Pattern in Spain</b:Title>
    <b:JournalName>Journal of Epidemiology &amp; Community Health</b:JournalName>
    <b:Year>2009</b:Year>
    <b:Pages>422-438</b:Pages>
    <b:RefOrder>3</b:RefOrder>
  </b:Source>
</b:Sources>
</file>

<file path=customXml/itemProps1.xml><?xml version="1.0" encoding="utf-8"?>
<ds:datastoreItem xmlns:ds="http://schemas.openxmlformats.org/officeDocument/2006/customXml" ds:itemID="{2D1A5725-0993-9049-B767-48D8492D8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3764</Words>
  <Characters>21459</Characters>
  <Application>Microsoft Office Word</Application>
  <DocSecurity>0</DocSecurity>
  <Lines>178</Lines>
  <Paragraphs>50</Paragraphs>
  <ScaleCrop>false</ScaleCrop>
  <Company/>
  <LinksUpToDate>false</LinksUpToDate>
  <CharactersWithSpaces>25173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Krause</dc:creator>
  <cp:keywords/>
  <dc:description/>
  <cp:lastModifiedBy>Samantha Krause</cp:lastModifiedBy>
  <cp:revision>1</cp:revision>
  <dcterms:created xsi:type="dcterms:W3CDTF">2018-12-12T04:40:00Z</dcterms:created>
  <dcterms:modified xsi:type="dcterms:W3CDTF">2018-12-12T04:43:00Z</dcterms:modified>
</cp:coreProperties>
</file>